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C9AC3" w14:textId="3471A446" w:rsidR="0075361D" w:rsidRPr="00BE7BD0" w:rsidRDefault="0075361D" w:rsidP="0075361D">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#112                                                                      R1</w:t>
      </w:r>
      <w:r w:rsidRPr="00BE7BD0">
        <w:rPr>
          <w:b/>
          <w:noProof/>
          <w:sz w:val="24"/>
        </w:rPr>
        <w:t>-</w:t>
      </w:r>
      <w:r>
        <w:rPr>
          <w:b/>
          <w:noProof/>
          <w:sz w:val="24"/>
        </w:rPr>
        <w:t>23</w:t>
      </w:r>
      <w:r w:rsidR="006D41F2">
        <w:rPr>
          <w:b/>
          <w:noProof/>
          <w:sz w:val="24"/>
        </w:rPr>
        <w:t>01344</w:t>
      </w:r>
      <w:r>
        <w:rPr>
          <w:b/>
          <w:i/>
          <w:noProof/>
          <w:sz w:val="28"/>
        </w:rPr>
        <w:tab/>
      </w:r>
    </w:p>
    <w:p w14:paraId="5729F7A4" w14:textId="77777777" w:rsidR="0075361D" w:rsidRPr="009E56BE" w:rsidRDefault="0075361D" w:rsidP="0075361D">
      <w:pPr>
        <w:tabs>
          <w:tab w:val="center" w:pos="4536"/>
          <w:tab w:val="right" w:pos="9072"/>
        </w:tabs>
        <w:rPr>
          <w:rFonts w:ascii="Arial" w:eastAsia="MS Mincho" w:hAnsi="Arial" w:cs="Arial"/>
          <w:b/>
          <w:bCs/>
          <w:szCs w:val="22"/>
          <w:lang w:val="en-GB"/>
        </w:rPr>
      </w:pPr>
      <w:r w:rsidRPr="009E56BE">
        <w:rPr>
          <w:rFonts w:ascii="Arial" w:eastAsia="MS Mincho" w:hAnsi="Arial" w:cs="Arial"/>
          <w:b/>
          <w:bCs/>
          <w:szCs w:val="22"/>
          <w:lang w:val="en-GB"/>
        </w:rPr>
        <w:t>Athens, Greece, February 27</w:t>
      </w:r>
      <w:r w:rsidRPr="009E56BE">
        <w:rPr>
          <w:rFonts w:ascii="Arial" w:eastAsia="MS Mincho" w:hAnsi="Arial" w:cs="Arial"/>
          <w:b/>
          <w:bCs/>
          <w:szCs w:val="22"/>
          <w:vertAlign w:val="superscript"/>
          <w:lang w:val="en-GB"/>
        </w:rPr>
        <w:t>th</w:t>
      </w:r>
      <w:r w:rsidRPr="009E56BE">
        <w:rPr>
          <w:rFonts w:ascii="Arial" w:eastAsia="MS Mincho" w:hAnsi="Arial" w:cs="Arial"/>
          <w:b/>
          <w:bCs/>
          <w:szCs w:val="22"/>
          <w:lang w:val="en-GB"/>
        </w:rPr>
        <w:t xml:space="preserve"> – March 3</w:t>
      </w:r>
      <w:r w:rsidRPr="009E56BE">
        <w:rPr>
          <w:rFonts w:ascii="Arial" w:eastAsia="MS Mincho" w:hAnsi="Arial" w:cs="Arial"/>
          <w:b/>
          <w:bCs/>
          <w:szCs w:val="22"/>
          <w:vertAlign w:val="superscript"/>
          <w:lang w:val="en-GB"/>
        </w:rPr>
        <w:t>rd</w:t>
      </w:r>
      <w:r w:rsidRPr="009E56BE">
        <w:rPr>
          <w:rFonts w:ascii="Arial" w:eastAsia="MS Mincho" w:hAnsi="Arial" w:cs="Arial"/>
          <w:b/>
          <w:bCs/>
          <w:szCs w:val="22"/>
          <w:lang w:val="en-GB"/>
        </w:rPr>
        <w:t>, 2023</w:t>
      </w:r>
    </w:p>
    <w:p w14:paraId="000E2F64" w14:textId="77777777" w:rsidR="0075361D" w:rsidRPr="00BE7BD0" w:rsidRDefault="0075361D" w:rsidP="0075361D">
      <w:pPr>
        <w:tabs>
          <w:tab w:val="center" w:pos="4536"/>
          <w:tab w:val="right" w:pos="9072"/>
        </w:tabs>
        <w:rPr>
          <w:rFonts w:ascii="Arial" w:eastAsia="MS Mincho" w:hAnsi="Arial" w:cs="Arial"/>
          <w:b/>
          <w:bCs/>
          <w:lang w:eastAsia="ja-JP"/>
        </w:rPr>
      </w:pPr>
    </w:p>
    <w:p w14:paraId="3B3CB684" w14:textId="6CA283CA" w:rsidR="0075361D" w:rsidRPr="00315C6E" w:rsidRDefault="0075361D" w:rsidP="0075361D">
      <w:pPr>
        <w:pStyle w:val="3GPPHeader"/>
        <w:rPr>
          <w:sz w:val="22"/>
          <w:szCs w:val="22"/>
        </w:rPr>
      </w:pPr>
      <w:r w:rsidRPr="00315C6E">
        <w:rPr>
          <w:sz w:val="22"/>
          <w:szCs w:val="22"/>
        </w:rPr>
        <w:t>Agenda Item:</w:t>
      </w:r>
      <w:r w:rsidRPr="00315C6E">
        <w:rPr>
          <w:sz w:val="22"/>
          <w:szCs w:val="22"/>
        </w:rPr>
        <w:tab/>
      </w:r>
      <w:r>
        <w:rPr>
          <w:sz w:val="22"/>
          <w:szCs w:val="22"/>
        </w:rPr>
        <w:t>9.3.2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492FF5DD" w:rsidR="00B23EB7" w:rsidRDefault="00B23EB7" w:rsidP="00B23EB7">
      <w:pPr>
        <w:pStyle w:val="3GPPHeader"/>
        <w:rPr>
          <w:sz w:val="22"/>
          <w:szCs w:val="22"/>
        </w:rPr>
      </w:pPr>
      <w:r w:rsidRPr="00315C6E">
        <w:rPr>
          <w:sz w:val="22"/>
          <w:szCs w:val="22"/>
        </w:rPr>
        <w:t>Title:</w:t>
      </w:r>
      <w:r w:rsidRPr="00315C6E">
        <w:rPr>
          <w:sz w:val="22"/>
          <w:szCs w:val="22"/>
        </w:rPr>
        <w:tab/>
      </w:r>
      <w:r w:rsidR="00C45A30">
        <w:rPr>
          <w:sz w:val="22"/>
          <w:szCs w:val="22"/>
        </w:rPr>
        <w:t>Views on subband non-overlapping full duplex</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29BBD8DA" w14:textId="0D5E0470" w:rsidR="00EF1791" w:rsidRDefault="009427D6" w:rsidP="00EF1791">
      <w:pPr>
        <w:tabs>
          <w:tab w:val="left" w:pos="640"/>
        </w:tabs>
        <w:jc w:val="both"/>
        <w:rPr>
          <w:sz w:val="20"/>
          <w:szCs w:val="20"/>
        </w:rPr>
      </w:pPr>
      <w:r w:rsidRPr="00500DE7">
        <w:rPr>
          <w:sz w:val="20"/>
          <w:szCs w:val="20"/>
        </w:rPr>
        <w:t xml:space="preserve">In </w:t>
      </w:r>
      <w:r w:rsidR="00EF1791" w:rsidRPr="00EF1791">
        <w:rPr>
          <w:sz w:val="20"/>
          <w:szCs w:val="20"/>
        </w:rPr>
        <w:t>In RAN</w:t>
      </w:r>
      <w:r w:rsidR="00EF1791">
        <w:rPr>
          <w:sz w:val="20"/>
          <w:szCs w:val="20"/>
        </w:rPr>
        <w:t>#</w:t>
      </w:r>
      <w:r w:rsidR="00EF1791" w:rsidRPr="00EF1791">
        <w:rPr>
          <w:sz w:val="20"/>
          <w:szCs w:val="20"/>
        </w:rPr>
        <w:t>94</w:t>
      </w:r>
      <w:r w:rsidR="00EF1791">
        <w:rPr>
          <w:sz w:val="20"/>
          <w:szCs w:val="20"/>
        </w:rPr>
        <w:t xml:space="preserve"> e-</w:t>
      </w:r>
      <w:r w:rsidR="00EF1791" w:rsidRPr="00EF1791">
        <w:rPr>
          <w:sz w:val="20"/>
          <w:szCs w:val="20"/>
        </w:rPr>
        <w:t>meeting, a new study item, ‘Study on Evolution of NR Duplex Operation’, was approved</w:t>
      </w:r>
      <w:r w:rsidR="00EF1791">
        <w:rPr>
          <w:sz w:val="20"/>
          <w:szCs w:val="20"/>
        </w:rPr>
        <w:t xml:space="preserve"> to </w:t>
      </w:r>
      <w:r w:rsidR="00EF1791" w:rsidRPr="00EF1791">
        <w:rPr>
          <w:sz w:val="20"/>
          <w:szCs w:val="20"/>
          <w:lang w:val="en-GB"/>
        </w:rPr>
        <w:t>identify and evaluate the potential enhancements to support duplex evolution for NR TDD in unpaired spectrum</w:t>
      </w:r>
      <w:r w:rsidR="00EF1791" w:rsidRPr="00EF1791">
        <w:rPr>
          <w:sz w:val="20"/>
          <w:szCs w:val="20"/>
        </w:rPr>
        <w:t xml:space="preserve"> with some of objectives as follows</w:t>
      </w:r>
      <w:r w:rsidR="00EF1791">
        <w:rPr>
          <w:sz w:val="20"/>
          <w:szCs w:val="20"/>
        </w:rPr>
        <w:t xml:space="preserve"> [1]</w:t>
      </w:r>
      <w:r w:rsidR="00EF1791" w:rsidRPr="00EF1791">
        <w:rPr>
          <w:sz w:val="20"/>
          <w:szCs w:val="20"/>
        </w:rPr>
        <w:t>:</w:t>
      </w:r>
    </w:p>
    <w:p w14:paraId="6C843988" w14:textId="77777777" w:rsidR="00C45A30" w:rsidRPr="00C45A30" w:rsidRDefault="00C45A30" w:rsidP="00C45A30">
      <w:pPr>
        <w:numPr>
          <w:ilvl w:val="0"/>
          <w:numId w:val="23"/>
        </w:numPr>
        <w:tabs>
          <w:tab w:val="left" w:pos="640"/>
        </w:tabs>
        <w:jc w:val="both"/>
        <w:rPr>
          <w:rFonts w:ascii="Times" w:eastAsia="Batang" w:hAnsi="Times"/>
          <w:sz w:val="20"/>
          <w:szCs w:val="20"/>
          <w:lang w:eastAsia="x-none"/>
        </w:rPr>
      </w:pPr>
      <w:r w:rsidRPr="00C45A30">
        <w:rPr>
          <w:rFonts w:ascii="Times" w:eastAsia="Batang" w:hAnsi="Times" w:hint="eastAsia"/>
          <w:sz w:val="20"/>
          <w:szCs w:val="20"/>
          <w:lang w:eastAsia="x-none"/>
        </w:rPr>
        <w:t xml:space="preserve">Study </w:t>
      </w:r>
      <w:r w:rsidRPr="00C45A30">
        <w:rPr>
          <w:rFonts w:ascii="Times" w:eastAsia="Batang" w:hAnsi="Times"/>
          <w:sz w:val="20"/>
          <w:szCs w:val="20"/>
          <w:lang w:eastAsia="x-none"/>
        </w:rPr>
        <w:t xml:space="preserve">the subband non-overlapping full duplex and </w:t>
      </w:r>
      <w:bookmarkStart w:id="0" w:name="_Hlk89796625"/>
      <w:r w:rsidRPr="00C45A30">
        <w:rPr>
          <w:rFonts w:ascii="Times" w:eastAsia="Batang" w:hAnsi="Times"/>
          <w:sz w:val="20"/>
          <w:szCs w:val="20"/>
          <w:lang w:eastAsia="x-none"/>
        </w:rPr>
        <w:t xml:space="preserve">potential enhancements on </w:t>
      </w:r>
      <w:r w:rsidRPr="00C45A30">
        <w:rPr>
          <w:rFonts w:ascii="Times" w:eastAsia="Batang" w:hAnsi="Times"/>
          <w:bCs/>
          <w:sz w:val="20"/>
          <w:szCs w:val="20"/>
          <w:lang w:val="en-GB" w:eastAsia="x-none"/>
        </w:rPr>
        <w:t>dynamic/flexible TDD</w:t>
      </w:r>
      <w:bookmarkEnd w:id="0"/>
      <w:r w:rsidRPr="00C45A30">
        <w:rPr>
          <w:rFonts w:ascii="Times" w:eastAsia="Batang" w:hAnsi="Times"/>
          <w:bCs/>
          <w:sz w:val="20"/>
          <w:szCs w:val="20"/>
          <w:lang w:val="en-GB" w:eastAsia="x-none"/>
        </w:rPr>
        <w:t xml:space="preserve"> (RAN1, RAN4).</w:t>
      </w:r>
    </w:p>
    <w:p w14:paraId="27A00D18" w14:textId="77777777" w:rsidR="00C45A30" w:rsidRPr="00C45A30" w:rsidRDefault="00C45A30" w:rsidP="00C45A30">
      <w:pPr>
        <w:numPr>
          <w:ilvl w:val="0"/>
          <w:numId w:val="22"/>
        </w:numPr>
        <w:tabs>
          <w:tab w:val="left" w:pos="640"/>
        </w:tabs>
        <w:jc w:val="both"/>
        <w:rPr>
          <w:rFonts w:ascii="Times" w:eastAsia="Batang" w:hAnsi="Times"/>
          <w:bCs/>
          <w:sz w:val="20"/>
          <w:szCs w:val="20"/>
          <w:lang w:val="en-GB" w:eastAsia="x-none"/>
        </w:rPr>
      </w:pPr>
      <w:r w:rsidRPr="00C45A30">
        <w:rPr>
          <w:rFonts w:ascii="Times" w:eastAsia="Batang" w:hAnsi="Times"/>
          <w:bCs/>
          <w:sz w:val="20"/>
          <w:szCs w:val="20"/>
          <w:lang w:val="en-GB" w:eastAsia="x-none"/>
        </w:rPr>
        <w:t>Identify possible schemes and evaluate their feasibility and performances (RAN1).</w:t>
      </w:r>
    </w:p>
    <w:p w14:paraId="422320C5" w14:textId="77777777" w:rsidR="00C45A30" w:rsidRPr="00C45A30" w:rsidRDefault="00C45A30" w:rsidP="00C45A30">
      <w:pPr>
        <w:numPr>
          <w:ilvl w:val="0"/>
          <w:numId w:val="22"/>
        </w:numPr>
        <w:tabs>
          <w:tab w:val="left" w:pos="640"/>
        </w:tabs>
        <w:jc w:val="both"/>
        <w:rPr>
          <w:rFonts w:ascii="Times" w:eastAsia="Batang" w:hAnsi="Times"/>
          <w:bCs/>
          <w:sz w:val="20"/>
          <w:szCs w:val="20"/>
          <w:lang w:val="en-GB" w:eastAsia="x-none"/>
        </w:rPr>
      </w:pPr>
      <w:r w:rsidRPr="00C45A30">
        <w:rPr>
          <w:rFonts w:ascii="Times" w:eastAsia="Batang" w:hAnsi="Times"/>
          <w:bCs/>
          <w:sz w:val="20"/>
          <w:szCs w:val="20"/>
          <w:lang w:val="en-GB" w:eastAsia="x-none"/>
        </w:rPr>
        <w:t xml:space="preserve">Study inter-gNB and inter-UE CLI handling and identify solutions to manage them (RAN1). </w:t>
      </w:r>
    </w:p>
    <w:p w14:paraId="58ACF13E" w14:textId="77777777" w:rsidR="00C45A30" w:rsidRPr="00C45A30" w:rsidRDefault="00C45A30" w:rsidP="00C45A30">
      <w:pPr>
        <w:numPr>
          <w:ilvl w:val="1"/>
          <w:numId w:val="22"/>
        </w:numPr>
        <w:tabs>
          <w:tab w:val="left" w:pos="640"/>
        </w:tabs>
        <w:jc w:val="both"/>
        <w:rPr>
          <w:rFonts w:ascii="Times" w:eastAsia="Batang" w:hAnsi="Times"/>
          <w:bCs/>
          <w:sz w:val="20"/>
          <w:szCs w:val="20"/>
          <w:lang w:val="en-GB" w:eastAsia="x-none"/>
        </w:rPr>
      </w:pPr>
      <w:r w:rsidRPr="00C45A30">
        <w:rPr>
          <w:rFonts w:ascii="Times" w:eastAsia="Batang" w:hAnsi="Times"/>
          <w:bCs/>
          <w:sz w:val="20"/>
          <w:szCs w:val="20"/>
          <w:lang w:val="en-GB" w:eastAsia="x-none"/>
        </w:rPr>
        <w:t xml:space="preserve">Consider intra-subband CLI and inter-subband CLI in case of the </w:t>
      </w:r>
      <w:r w:rsidRPr="00C45A30">
        <w:rPr>
          <w:rFonts w:ascii="Times" w:eastAsia="Batang" w:hAnsi="Times"/>
          <w:sz w:val="20"/>
          <w:szCs w:val="20"/>
          <w:lang w:eastAsia="x-none"/>
        </w:rPr>
        <w:t>subband non-overlapping full duplex</w:t>
      </w:r>
      <w:r w:rsidRPr="00C45A30">
        <w:rPr>
          <w:rFonts w:ascii="Times" w:eastAsia="Batang" w:hAnsi="Times"/>
          <w:bCs/>
          <w:sz w:val="20"/>
          <w:szCs w:val="20"/>
          <w:lang w:val="en-GB" w:eastAsia="x-none"/>
        </w:rPr>
        <w:t>.</w:t>
      </w:r>
    </w:p>
    <w:p w14:paraId="7DAFC2E4" w14:textId="77777777" w:rsidR="00C45A30" w:rsidRPr="00C45A30" w:rsidRDefault="00C45A30" w:rsidP="00C45A30">
      <w:pPr>
        <w:numPr>
          <w:ilvl w:val="0"/>
          <w:numId w:val="22"/>
        </w:numPr>
        <w:tabs>
          <w:tab w:val="left" w:pos="640"/>
        </w:tabs>
        <w:jc w:val="both"/>
        <w:rPr>
          <w:rFonts w:ascii="Times" w:eastAsia="Batang" w:hAnsi="Times"/>
          <w:bCs/>
          <w:sz w:val="20"/>
          <w:szCs w:val="20"/>
          <w:lang w:val="en-GB" w:eastAsia="x-none"/>
        </w:rPr>
      </w:pPr>
      <w:r w:rsidRPr="00C45A30">
        <w:rPr>
          <w:rFonts w:ascii="Times" w:eastAsia="Batang" w:hAnsi="Times"/>
          <w:bCs/>
          <w:sz w:val="20"/>
          <w:szCs w:val="20"/>
          <w:lang w:val="en-GB" w:eastAsia="x-none"/>
        </w:rPr>
        <w:t>Study the performance of the identified schemes as well as the impact on legacy operation assuming their co-existence in co-channel and adjacent channels (RAN1).</w:t>
      </w:r>
    </w:p>
    <w:p w14:paraId="4F9526C1" w14:textId="77777777" w:rsidR="00DE5C43" w:rsidRDefault="00DE5C43" w:rsidP="00EF1791">
      <w:pPr>
        <w:tabs>
          <w:tab w:val="left" w:pos="640"/>
        </w:tabs>
        <w:jc w:val="both"/>
        <w:rPr>
          <w:sz w:val="20"/>
          <w:szCs w:val="20"/>
        </w:rPr>
      </w:pPr>
    </w:p>
    <w:p w14:paraId="7EAE4861" w14:textId="1A19A637" w:rsidR="00EF1791" w:rsidRDefault="00EF1791" w:rsidP="00EF1791">
      <w:pPr>
        <w:tabs>
          <w:tab w:val="left" w:pos="640"/>
        </w:tabs>
        <w:jc w:val="both"/>
        <w:rPr>
          <w:sz w:val="20"/>
          <w:szCs w:val="20"/>
        </w:rPr>
      </w:pPr>
      <w:r w:rsidRPr="00EF1791">
        <w:rPr>
          <w:sz w:val="20"/>
          <w:szCs w:val="20"/>
        </w:rPr>
        <w:t xml:space="preserve">In </w:t>
      </w:r>
      <w:r>
        <w:rPr>
          <w:sz w:val="20"/>
          <w:szCs w:val="20"/>
        </w:rPr>
        <w:t xml:space="preserve">this contribution, we share our </w:t>
      </w:r>
      <w:r w:rsidR="00C45A30">
        <w:rPr>
          <w:sz w:val="20"/>
          <w:szCs w:val="20"/>
        </w:rPr>
        <w:t>views</w:t>
      </w:r>
      <w:r w:rsidR="00DE5C43">
        <w:rPr>
          <w:sz w:val="20"/>
          <w:szCs w:val="20"/>
        </w:rPr>
        <w:t xml:space="preserve"> on </w:t>
      </w:r>
      <w:r w:rsidR="00DE5C43" w:rsidRPr="00EF1791">
        <w:rPr>
          <w:sz w:val="20"/>
          <w:szCs w:val="20"/>
          <w:lang w:val="en-GB"/>
        </w:rPr>
        <w:t>duplex evolution for NR TDD</w:t>
      </w:r>
      <w:r w:rsidR="00DE5C43">
        <w:rPr>
          <w:sz w:val="20"/>
          <w:szCs w:val="20"/>
        </w:rPr>
        <w:t>.</w:t>
      </w:r>
    </w:p>
    <w:p w14:paraId="650A411A" w14:textId="77777777" w:rsidR="00D45853" w:rsidRPr="00EF1791" w:rsidRDefault="00D45853" w:rsidP="00EF1791">
      <w:pPr>
        <w:tabs>
          <w:tab w:val="left" w:pos="640"/>
        </w:tabs>
        <w:jc w:val="both"/>
        <w:rPr>
          <w:sz w:val="20"/>
          <w:szCs w:val="20"/>
        </w:rPr>
      </w:pPr>
    </w:p>
    <w:p w14:paraId="665DB461" w14:textId="26CA942B" w:rsidR="00FB414C" w:rsidRDefault="00F171C0" w:rsidP="00300A71">
      <w:pPr>
        <w:pStyle w:val="Heading1"/>
      </w:pPr>
      <w:r>
        <w:t>SBFD Operation at gNB</w:t>
      </w:r>
    </w:p>
    <w:p w14:paraId="44A2FBAE" w14:textId="466F8758" w:rsidR="00F171C0" w:rsidRPr="00F171C0" w:rsidRDefault="004636A7" w:rsidP="00F171C0">
      <w:pPr>
        <w:pStyle w:val="Heading2"/>
      </w:pPr>
      <w:r>
        <w:t>Resource allocation</w:t>
      </w:r>
    </w:p>
    <w:p w14:paraId="0CE2C6A2" w14:textId="694B58D8" w:rsidR="003B6A47" w:rsidRPr="004636A7" w:rsidRDefault="002679CB" w:rsidP="00FB414C">
      <w:pPr>
        <w:jc w:val="both"/>
        <w:rPr>
          <w:sz w:val="20"/>
          <w:szCs w:val="20"/>
        </w:rPr>
      </w:pPr>
      <w:r>
        <w:rPr>
          <w:rFonts w:eastAsia="Malgun Gothic" w:cs="Times"/>
          <w:sz w:val="20"/>
          <w:szCs w:val="20"/>
        </w:rPr>
        <w:t xml:space="preserve">In RAN1#111, the behavior for a SBFD-aware UE within a SBFD symbol that is originally configured as DL </w:t>
      </w:r>
      <w:r w:rsidRPr="004636A7">
        <w:rPr>
          <w:rFonts w:eastAsia="Malgun Gothic" w:cs="Times"/>
          <w:sz w:val="20"/>
          <w:szCs w:val="20"/>
        </w:rPr>
        <w:t xml:space="preserve">in </w:t>
      </w:r>
      <w:r w:rsidRPr="004636A7">
        <w:rPr>
          <w:rFonts w:cs="Times"/>
          <w:i/>
          <w:iCs/>
          <w:sz w:val="20"/>
          <w:szCs w:val="20"/>
        </w:rPr>
        <w:t>TDD-UL-DL-ConfigCommon</w:t>
      </w:r>
      <w:r w:rsidRPr="004636A7">
        <w:rPr>
          <w:rFonts w:eastAsia="Malgun Gothic" w:cs="Times"/>
          <w:sz w:val="20"/>
          <w:szCs w:val="20"/>
        </w:rPr>
        <w:t xml:space="preserve"> </w:t>
      </w:r>
      <w:r>
        <w:rPr>
          <w:rFonts w:eastAsia="Malgun Gothic" w:cs="Times"/>
          <w:sz w:val="20"/>
          <w:szCs w:val="20"/>
        </w:rPr>
        <w:t xml:space="preserve">is agreed. In summary, SBFD-aware UE may transmit and receive within UL and DL subbands, respectively. </w:t>
      </w:r>
      <w:r w:rsidR="004636A7" w:rsidRPr="004636A7">
        <w:rPr>
          <w:rFonts w:eastAsia="Malgun Gothic" w:cs="Times"/>
          <w:sz w:val="20"/>
          <w:szCs w:val="20"/>
        </w:rPr>
        <w:t>For SBFD operation</w:t>
      </w:r>
      <w:r w:rsidR="004636A7" w:rsidRPr="004636A7">
        <w:rPr>
          <w:rFonts w:cs="Times"/>
          <w:sz w:val="20"/>
          <w:szCs w:val="20"/>
        </w:rPr>
        <w:t xml:space="preserve"> </w:t>
      </w:r>
      <w:r w:rsidR="004636A7" w:rsidRPr="004636A7">
        <w:rPr>
          <w:rFonts w:eastAsia="Malgun Gothic" w:cs="Times"/>
          <w:sz w:val="20"/>
          <w:szCs w:val="20"/>
        </w:rPr>
        <w:t xml:space="preserve">in a symbol configured as flexible in </w:t>
      </w:r>
      <w:r w:rsidR="004636A7" w:rsidRPr="004636A7">
        <w:rPr>
          <w:rFonts w:cs="Times"/>
          <w:i/>
          <w:iCs/>
          <w:sz w:val="20"/>
          <w:szCs w:val="20"/>
        </w:rPr>
        <w:t>TDD-UL-DL-ConfigCommon</w:t>
      </w:r>
      <w:r w:rsidR="004636A7" w:rsidRPr="004636A7">
        <w:rPr>
          <w:rFonts w:eastAsia="Malgun Gothic" w:cs="Times"/>
          <w:sz w:val="20"/>
          <w:szCs w:val="20"/>
        </w:rPr>
        <w:t>,</w:t>
      </w:r>
      <w:r w:rsidR="004636A7">
        <w:rPr>
          <w:rFonts w:eastAsia="Malgun Gothic" w:cs="Times"/>
          <w:sz w:val="20"/>
          <w:szCs w:val="20"/>
        </w:rPr>
        <w:t xml:space="preserve"> two options are on the table for further study. More precisely, it was agreed in RAN1#111 that</w:t>
      </w:r>
      <w:r w:rsidR="001A3273">
        <w:rPr>
          <w:rFonts w:eastAsia="Malgun Gothic" w:cs="Times"/>
          <w:sz w:val="20"/>
          <w:szCs w:val="20"/>
        </w:rPr>
        <w:t>:</w:t>
      </w:r>
    </w:p>
    <w:p w14:paraId="06AA518D" w14:textId="77777777" w:rsidR="00300A71" w:rsidRDefault="00300A71" w:rsidP="00FB414C">
      <w:pPr>
        <w:jc w:val="both"/>
        <w:rPr>
          <w:sz w:val="20"/>
          <w:szCs w:val="20"/>
        </w:rPr>
      </w:pPr>
    </w:p>
    <w:p w14:paraId="5EEEA153" w14:textId="0CD883F7" w:rsidR="007322C5" w:rsidRPr="001A3273" w:rsidRDefault="007322C5" w:rsidP="007322C5">
      <w:pPr>
        <w:jc w:val="both"/>
        <w:rPr>
          <w:rFonts w:eastAsia="Malgun Gothic"/>
          <w:b/>
          <w:sz w:val="20"/>
          <w:szCs w:val="20"/>
          <w:highlight w:val="green"/>
        </w:rPr>
      </w:pPr>
      <w:r w:rsidRPr="001A3273">
        <w:rPr>
          <w:rFonts w:eastAsia="Malgun Gothic" w:cs="Times"/>
          <w:b/>
          <w:sz w:val="20"/>
          <w:szCs w:val="20"/>
          <w:highlight w:val="green"/>
        </w:rPr>
        <w:t>Agreement</w:t>
      </w:r>
    </w:p>
    <w:p w14:paraId="03AFD7A1" w14:textId="77777777" w:rsidR="007322C5" w:rsidRPr="001A3273" w:rsidRDefault="007322C5" w:rsidP="007322C5">
      <w:pPr>
        <w:rPr>
          <w:rFonts w:eastAsia="Malgun Gothic" w:cs="Times"/>
          <w:sz w:val="20"/>
          <w:szCs w:val="20"/>
        </w:rPr>
      </w:pPr>
      <w:r w:rsidRPr="001A3273">
        <w:rPr>
          <w:rFonts w:eastAsia="Malgun Gothic" w:cs="Times"/>
          <w:sz w:val="20"/>
          <w:szCs w:val="20"/>
        </w:rPr>
        <w:t>For SBFD operation</w:t>
      </w:r>
      <w:r w:rsidRPr="001A3273">
        <w:rPr>
          <w:rFonts w:cs="Times"/>
          <w:sz w:val="20"/>
          <w:szCs w:val="20"/>
        </w:rPr>
        <w:t xml:space="preserve"> </w:t>
      </w:r>
      <w:r w:rsidRPr="001A3273">
        <w:rPr>
          <w:rFonts w:eastAsia="Malgun Gothic" w:cs="Times"/>
          <w:sz w:val="20"/>
          <w:szCs w:val="20"/>
        </w:rPr>
        <w:t xml:space="preserve">in a symbol configured as flexible in </w:t>
      </w:r>
      <w:r w:rsidRPr="001A3273">
        <w:rPr>
          <w:rFonts w:cs="Times"/>
          <w:i/>
          <w:iCs/>
          <w:sz w:val="20"/>
          <w:szCs w:val="20"/>
        </w:rPr>
        <w:t>TDD-UL-DL-ConfigCommon</w:t>
      </w:r>
      <w:r w:rsidRPr="001A3273">
        <w:rPr>
          <w:rFonts w:eastAsia="Malgun Gothic" w:cs="Times"/>
          <w:sz w:val="20"/>
          <w:szCs w:val="20"/>
        </w:rPr>
        <w:t>, study the following options for SBFD aware UEs,</w:t>
      </w:r>
    </w:p>
    <w:p w14:paraId="0BEFF33D" w14:textId="77777777" w:rsidR="007322C5" w:rsidRPr="001A3273" w:rsidRDefault="007322C5" w:rsidP="007322C5">
      <w:pPr>
        <w:tabs>
          <w:tab w:val="left" w:pos="0"/>
        </w:tabs>
        <w:rPr>
          <w:rFonts w:eastAsia="Malgun Gothic" w:cs="Times"/>
          <w:sz w:val="20"/>
          <w:szCs w:val="20"/>
        </w:rPr>
      </w:pPr>
      <w:r w:rsidRPr="001A3273">
        <w:rPr>
          <w:rFonts w:eastAsia="Malgun Gothic" w:cs="Times"/>
          <w:sz w:val="20"/>
          <w:szCs w:val="20"/>
        </w:rPr>
        <w:t xml:space="preserve">Option 1: </w:t>
      </w:r>
    </w:p>
    <w:p w14:paraId="0F532409" w14:textId="77777777" w:rsidR="007322C5" w:rsidRPr="001A3273" w:rsidRDefault="007322C5" w:rsidP="007322C5">
      <w:pPr>
        <w:numPr>
          <w:ilvl w:val="0"/>
          <w:numId w:val="30"/>
        </w:numPr>
        <w:tabs>
          <w:tab w:val="left" w:pos="0"/>
        </w:tabs>
        <w:rPr>
          <w:rFonts w:eastAsia="Malgun Gothic" w:cs="Times"/>
          <w:sz w:val="20"/>
          <w:szCs w:val="20"/>
        </w:rPr>
      </w:pPr>
      <w:r w:rsidRPr="001A3273">
        <w:rPr>
          <w:rFonts w:eastAsia="Malgun Gothic" w:cs="Times"/>
          <w:sz w:val="20"/>
          <w:szCs w:val="20"/>
        </w:rPr>
        <w:t>UL transmissions within UL subband are allowed in the symbol</w:t>
      </w:r>
    </w:p>
    <w:p w14:paraId="039A1B94" w14:textId="77777777" w:rsidR="007322C5" w:rsidRPr="001A3273" w:rsidRDefault="007322C5" w:rsidP="007322C5">
      <w:pPr>
        <w:numPr>
          <w:ilvl w:val="0"/>
          <w:numId w:val="30"/>
        </w:numPr>
        <w:tabs>
          <w:tab w:val="left" w:pos="0"/>
        </w:tabs>
        <w:rPr>
          <w:rFonts w:eastAsia="Malgun Gothic" w:cs="Times"/>
          <w:sz w:val="20"/>
          <w:szCs w:val="20"/>
        </w:rPr>
      </w:pPr>
      <w:r w:rsidRPr="001A3273">
        <w:rPr>
          <w:rFonts w:eastAsia="Malgun Gothic" w:cs="Times"/>
          <w:sz w:val="20"/>
          <w:szCs w:val="20"/>
        </w:rPr>
        <w:t>UL transmissions outside UL subband are not allowed in the symbol</w:t>
      </w:r>
    </w:p>
    <w:p w14:paraId="4A20B9FB" w14:textId="77777777" w:rsidR="007322C5" w:rsidRPr="001A3273" w:rsidRDefault="007322C5" w:rsidP="007322C5">
      <w:pPr>
        <w:numPr>
          <w:ilvl w:val="0"/>
          <w:numId w:val="30"/>
        </w:numPr>
        <w:tabs>
          <w:tab w:val="left" w:pos="0"/>
        </w:tabs>
        <w:rPr>
          <w:rFonts w:eastAsia="Malgun Gothic" w:cs="Times"/>
          <w:sz w:val="20"/>
          <w:szCs w:val="20"/>
        </w:rPr>
      </w:pPr>
      <w:r w:rsidRPr="001A3273">
        <w:rPr>
          <w:rFonts w:eastAsia="Malgun Gothic" w:cs="Times"/>
          <w:sz w:val="20"/>
          <w:szCs w:val="20"/>
        </w:rPr>
        <w:t>Frequency locations of DL subband(s) are known to the SBFD aware UE</w:t>
      </w:r>
    </w:p>
    <w:p w14:paraId="648BBB62" w14:textId="77777777" w:rsidR="007322C5" w:rsidRPr="001A3273" w:rsidRDefault="007322C5" w:rsidP="007322C5">
      <w:pPr>
        <w:numPr>
          <w:ilvl w:val="0"/>
          <w:numId w:val="30"/>
        </w:numPr>
        <w:tabs>
          <w:tab w:val="left" w:pos="0"/>
        </w:tabs>
        <w:rPr>
          <w:rFonts w:eastAsia="Malgun Gothic" w:cs="Times"/>
          <w:sz w:val="20"/>
          <w:szCs w:val="20"/>
        </w:rPr>
      </w:pPr>
      <w:r w:rsidRPr="001A3273">
        <w:rPr>
          <w:rFonts w:eastAsia="Malgun Gothic" w:cs="Times"/>
          <w:sz w:val="20"/>
          <w:szCs w:val="20"/>
        </w:rPr>
        <w:t>DL receptions within DL subband(s) are allowed in the symbol</w:t>
      </w:r>
    </w:p>
    <w:p w14:paraId="5FA07957" w14:textId="77777777" w:rsidR="007322C5" w:rsidRPr="001A3273" w:rsidRDefault="007322C5" w:rsidP="007322C5">
      <w:pPr>
        <w:numPr>
          <w:ilvl w:val="0"/>
          <w:numId w:val="30"/>
        </w:numPr>
        <w:tabs>
          <w:tab w:val="left" w:pos="0"/>
        </w:tabs>
        <w:rPr>
          <w:rFonts w:eastAsia="Malgun Gothic" w:cs="Times"/>
          <w:sz w:val="20"/>
          <w:szCs w:val="20"/>
        </w:rPr>
      </w:pPr>
      <w:r w:rsidRPr="001A3273">
        <w:rPr>
          <w:rFonts w:eastAsia="Malgun Gothic" w:cs="Times"/>
          <w:sz w:val="20"/>
          <w:szCs w:val="20"/>
        </w:rPr>
        <w:t>FFS: Whether DL receptions outside DL subband(s) are allowed or not in the symbol</w:t>
      </w:r>
    </w:p>
    <w:p w14:paraId="2A5BD72C" w14:textId="77777777" w:rsidR="007322C5" w:rsidRPr="001A3273" w:rsidRDefault="007322C5" w:rsidP="007322C5">
      <w:pPr>
        <w:rPr>
          <w:rFonts w:cs="Times"/>
          <w:sz w:val="20"/>
          <w:szCs w:val="20"/>
        </w:rPr>
      </w:pPr>
      <w:r w:rsidRPr="001A3273">
        <w:rPr>
          <w:rFonts w:cs="Times"/>
          <w:sz w:val="20"/>
          <w:szCs w:val="20"/>
        </w:rPr>
        <w:t xml:space="preserve">Option 2: </w:t>
      </w:r>
    </w:p>
    <w:p w14:paraId="205A8149" w14:textId="77777777" w:rsidR="007322C5" w:rsidRPr="001A3273" w:rsidRDefault="007322C5" w:rsidP="007322C5">
      <w:pPr>
        <w:numPr>
          <w:ilvl w:val="0"/>
          <w:numId w:val="30"/>
        </w:numPr>
        <w:tabs>
          <w:tab w:val="left" w:pos="0"/>
        </w:tabs>
        <w:rPr>
          <w:rFonts w:eastAsia="Malgun Gothic" w:cs="Times"/>
          <w:sz w:val="20"/>
          <w:szCs w:val="20"/>
        </w:rPr>
      </w:pPr>
      <w:r w:rsidRPr="001A3273">
        <w:rPr>
          <w:rFonts w:eastAsia="Malgun Gothic" w:cs="Times"/>
          <w:sz w:val="20"/>
          <w:szCs w:val="20"/>
        </w:rPr>
        <w:t>UL transmissions within UL subband are allowed in the symbol</w:t>
      </w:r>
    </w:p>
    <w:p w14:paraId="4B1EA03D" w14:textId="77777777" w:rsidR="007322C5" w:rsidRPr="001A3273" w:rsidRDefault="007322C5" w:rsidP="007322C5">
      <w:pPr>
        <w:numPr>
          <w:ilvl w:val="0"/>
          <w:numId w:val="30"/>
        </w:numPr>
        <w:tabs>
          <w:tab w:val="left" w:pos="0"/>
        </w:tabs>
        <w:rPr>
          <w:rFonts w:eastAsia="Malgun Gothic" w:cs="Times"/>
          <w:sz w:val="20"/>
          <w:szCs w:val="20"/>
        </w:rPr>
      </w:pPr>
      <w:r w:rsidRPr="001A3273">
        <w:rPr>
          <w:rFonts w:eastAsia="Malgun Gothic" w:cs="Times"/>
          <w:sz w:val="20"/>
          <w:szCs w:val="20"/>
        </w:rPr>
        <w:t>The RBs outside the UL subband can be used as either UL, or DL excluding guardband(s) if used, in the symbol from gNB’s perspective, and the transmission direction for all those RBs is the same</w:t>
      </w:r>
    </w:p>
    <w:p w14:paraId="70F63261" w14:textId="77777777" w:rsidR="007322C5" w:rsidRPr="001A3273" w:rsidRDefault="007322C5" w:rsidP="007322C5">
      <w:pPr>
        <w:numPr>
          <w:ilvl w:val="1"/>
          <w:numId w:val="30"/>
        </w:numPr>
        <w:tabs>
          <w:tab w:val="left" w:pos="0"/>
        </w:tabs>
        <w:rPr>
          <w:rFonts w:eastAsia="Malgun Gothic" w:cs="Times"/>
          <w:sz w:val="20"/>
          <w:szCs w:val="20"/>
        </w:rPr>
      </w:pPr>
      <w:r w:rsidRPr="001A3273">
        <w:rPr>
          <w:rFonts w:eastAsia="Malgun Gothic" w:cs="Times"/>
          <w:sz w:val="20"/>
          <w:szCs w:val="20"/>
        </w:rPr>
        <w:t>FFS: SBFD aware UE behaviours</w:t>
      </w:r>
    </w:p>
    <w:p w14:paraId="2FF7947F" w14:textId="77777777" w:rsidR="007322C5" w:rsidRPr="001A3273" w:rsidRDefault="007322C5" w:rsidP="007322C5">
      <w:pPr>
        <w:numPr>
          <w:ilvl w:val="1"/>
          <w:numId w:val="30"/>
        </w:numPr>
        <w:tabs>
          <w:tab w:val="left" w:pos="0"/>
        </w:tabs>
        <w:rPr>
          <w:rFonts w:eastAsia="Malgun Gothic" w:cs="Times"/>
          <w:sz w:val="20"/>
          <w:szCs w:val="20"/>
        </w:rPr>
      </w:pPr>
      <w:r w:rsidRPr="001A3273">
        <w:rPr>
          <w:rFonts w:eastAsia="Malgun Gothic" w:cs="Times"/>
          <w:sz w:val="20"/>
          <w:szCs w:val="20"/>
        </w:rPr>
        <w:t>FFS: Whether or not signalling of guardband(s) is needed</w:t>
      </w:r>
    </w:p>
    <w:p w14:paraId="48089D49" w14:textId="77777777" w:rsidR="007322C5" w:rsidRPr="001A3273" w:rsidRDefault="007322C5" w:rsidP="007322C5">
      <w:pPr>
        <w:numPr>
          <w:ilvl w:val="0"/>
          <w:numId w:val="30"/>
        </w:numPr>
        <w:tabs>
          <w:tab w:val="left" w:pos="0"/>
        </w:tabs>
        <w:rPr>
          <w:rFonts w:eastAsia="Malgun Gothic" w:cs="Times"/>
          <w:sz w:val="20"/>
          <w:szCs w:val="20"/>
        </w:rPr>
      </w:pPr>
      <w:r w:rsidRPr="001A3273">
        <w:rPr>
          <w:rFonts w:eastAsia="Malgun Gothic" w:cs="Times"/>
          <w:sz w:val="20"/>
          <w:szCs w:val="20"/>
        </w:rPr>
        <w:t>FFS: Whether or not the symbol can be converted to a DL-only symbol</w:t>
      </w:r>
    </w:p>
    <w:p w14:paraId="0D86C87F" w14:textId="77777777" w:rsidR="007322C5" w:rsidRPr="001A3273" w:rsidRDefault="007322C5" w:rsidP="007322C5">
      <w:pPr>
        <w:numPr>
          <w:ilvl w:val="0"/>
          <w:numId w:val="30"/>
        </w:numPr>
        <w:tabs>
          <w:tab w:val="left" w:pos="0"/>
        </w:tabs>
        <w:rPr>
          <w:rFonts w:eastAsia="Malgun Gothic" w:cs="Times"/>
          <w:sz w:val="20"/>
          <w:szCs w:val="20"/>
        </w:rPr>
      </w:pPr>
      <w:r w:rsidRPr="001A3273">
        <w:rPr>
          <w:rFonts w:eastAsia="Malgun Gothic" w:cs="Times"/>
          <w:sz w:val="20"/>
          <w:szCs w:val="20"/>
        </w:rPr>
        <w:t>Frequency locations of DL subband(s) are known to the SBFD aware UE</w:t>
      </w:r>
    </w:p>
    <w:p w14:paraId="06C674DA" w14:textId="77777777" w:rsidR="007322C5" w:rsidRPr="001A3273" w:rsidRDefault="007322C5" w:rsidP="007322C5">
      <w:pPr>
        <w:numPr>
          <w:ilvl w:val="0"/>
          <w:numId w:val="30"/>
        </w:numPr>
        <w:tabs>
          <w:tab w:val="left" w:pos="0"/>
        </w:tabs>
        <w:rPr>
          <w:rFonts w:eastAsia="Malgun Gothic" w:cs="Times"/>
          <w:sz w:val="20"/>
          <w:szCs w:val="20"/>
        </w:rPr>
      </w:pPr>
      <w:r w:rsidRPr="001A3273">
        <w:rPr>
          <w:rFonts w:eastAsia="Malgun Gothic" w:cs="Times"/>
          <w:sz w:val="20"/>
          <w:szCs w:val="20"/>
        </w:rPr>
        <w:t>DL receptions within DL subband(s) are allowed in the symbol</w:t>
      </w:r>
    </w:p>
    <w:p w14:paraId="2433B369" w14:textId="34CE61AA" w:rsidR="007A6EBC" w:rsidRDefault="007A6EBC" w:rsidP="00FB414C">
      <w:pPr>
        <w:jc w:val="both"/>
        <w:rPr>
          <w:sz w:val="20"/>
          <w:szCs w:val="20"/>
        </w:rPr>
      </w:pPr>
    </w:p>
    <w:p w14:paraId="699249E1" w14:textId="77777777" w:rsidR="009F495A" w:rsidRDefault="009F495A" w:rsidP="00B5429D">
      <w:pPr>
        <w:jc w:val="both"/>
        <w:rPr>
          <w:sz w:val="20"/>
          <w:szCs w:val="20"/>
        </w:rPr>
      </w:pPr>
    </w:p>
    <w:p w14:paraId="1CDAD8EC" w14:textId="41D420BB" w:rsidR="00B6313F" w:rsidRDefault="00B6313F" w:rsidP="00B5429D">
      <w:pPr>
        <w:jc w:val="both"/>
        <w:rPr>
          <w:rFonts w:eastAsia="Malgun Gothic" w:cs="Times"/>
          <w:sz w:val="20"/>
          <w:szCs w:val="20"/>
        </w:rPr>
      </w:pPr>
      <w:r>
        <w:rPr>
          <w:sz w:val="20"/>
          <w:szCs w:val="20"/>
        </w:rPr>
        <w:t>In our opinion, second sub-bullet under Option2 is quite vague. If the intention of “</w:t>
      </w:r>
      <w:r w:rsidRPr="00B6313F">
        <w:rPr>
          <w:i/>
          <w:iCs/>
          <w:sz w:val="20"/>
          <w:szCs w:val="20"/>
        </w:rPr>
        <w:t>from gNB’s perspective, and the transmission direction for all those RBs is the same</w:t>
      </w:r>
      <w:r>
        <w:rPr>
          <w:sz w:val="20"/>
          <w:szCs w:val="20"/>
        </w:rPr>
        <w:t>”</w:t>
      </w:r>
      <w:r w:rsidRPr="00B6313F">
        <w:rPr>
          <w:sz w:val="20"/>
          <w:szCs w:val="20"/>
        </w:rPr>
        <w:t xml:space="preserve"> </w:t>
      </w:r>
      <w:r>
        <w:rPr>
          <w:sz w:val="20"/>
          <w:szCs w:val="20"/>
        </w:rPr>
        <w:t xml:space="preserve">is to assure that the scheduler will perform either UL or DL scheduling on a given RB outside the UL sub-band, that should be </w:t>
      </w:r>
      <w:r w:rsidR="00365A86">
        <w:rPr>
          <w:sz w:val="20"/>
          <w:szCs w:val="20"/>
        </w:rPr>
        <w:t xml:space="preserve">the </w:t>
      </w:r>
      <w:r>
        <w:rPr>
          <w:sz w:val="20"/>
          <w:szCs w:val="20"/>
        </w:rPr>
        <w:t xml:space="preserve">understanding </w:t>
      </w:r>
      <w:r w:rsidR="00365A86">
        <w:rPr>
          <w:sz w:val="20"/>
          <w:szCs w:val="20"/>
        </w:rPr>
        <w:t>for RBs within the</w:t>
      </w:r>
      <w:r>
        <w:rPr>
          <w:sz w:val="20"/>
          <w:szCs w:val="20"/>
        </w:rPr>
        <w:t xml:space="preserve"> UL sub-bands as well. Besides, </w:t>
      </w:r>
      <w:r w:rsidR="00365A86">
        <w:rPr>
          <w:sz w:val="20"/>
          <w:szCs w:val="20"/>
        </w:rPr>
        <w:t xml:space="preserve">if we go with Option 1, </w:t>
      </w:r>
      <w:r>
        <w:rPr>
          <w:sz w:val="20"/>
          <w:szCs w:val="20"/>
        </w:rPr>
        <w:t xml:space="preserve">a unified design for UE behavior in SBFD symbols marked as DL or flexible in </w:t>
      </w:r>
      <w:r w:rsidRPr="001A3273">
        <w:rPr>
          <w:rFonts w:cs="Times"/>
          <w:i/>
          <w:iCs/>
          <w:sz w:val="20"/>
          <w:szCs w:val="20"/>
        </w:rPr>
        <w:t>TDD-UL-DL-ConfigCommon</w:t>
      </w:r>
      <w:r w:rsidR="00365A86">
        <w:rPr>
          <w:rFonts w:eastAsia="Malgun Gothic" w:cs="Times"/>
          <w:sz w:val="20"/>
          <w:szCs w:val="20"/>
        </w:rPr>
        <w:t xml:space="preserve">, which is </w:t>
      </w:r>
      <w:r>
        <w:rPr>
          <w:rFonts w:eastAsia="Malgun Gothic" w:cs="Times"/>
          <w:sz w:val="20"/>
          <w:szCs w:val="20"/>
        </w:rPr>
        <w:t>desired</w:t>
      </w:r>
      <w:r w:rsidR="00365A86">
        <w:rPr>
          <w:rFonts w:eastAsia="Malgun Gothic" w:cs="Times"/>
          <w:sz w:val="20"/>
          <w:szCs w:val="20"/>
        </w:rPr>
        <w:t>, will be achievable</w:t>
      </w:r>
      <w:r>
        <w:rPr>
          <w:rFonts w:eastAsia="Malgun Gothic" w:cs="Times"/>
          <w:sz w:val="20"/>
          <w:szCs w:val="20"/>
        </w:rPr>
        <w:t xml:space="preserve">. Now, one may argue that adopting the same procedure </w:t>
      </w:r>
      <w:r w:rsidR="00365A86">
        <w:rPr>
          <w:rFonts w:eastAsia="Malgun Gothic" w:cs="Times"/>
          <w:sz w:val="20"/>
          <w:szCs w:val="20"/>
        </w:rPr>
        <w:t>impacts UL resources that can be scheduled to UE in flexible symbol. Here we should note that gNB can prevent such a loss of UL resources, e.g. by setting UL sub-band to be the same size of active UL BWP. Thus, we have the following proposal:</w:t>
      </w:r>
      <w:r>
        <w:rPr>
          <w:rFonts w:eastAsia="Malgun Gothic" w:cs="Times"/>
          <w:sz w:val="20"/>
          <w:szCs w:val="20"/>
        </w:rPr>
        <w:t xml:space="preserve">  </w:t>
      </w:r>
    </w:p>
    <w:p w14:paraId="496B172C" w14:textId="1695C9EF" w:rsidR="00F171C0" w:rsidRDefault="00F171C0" w:rsidP="00B5429D">
      <w:pPr>
        <w:jc w:val="both"/>
        <w:rPr>
          <w:sz w:val="20"/>
          <w:szCs w:val="20"/>
        </w:rPr>
      </w:pPr>
    </w:p>
    <w:p w14:paraId="763F0CED" w14:textId="0A609E35" w:rsidR="00F171C0" w:rsidRDefault="00F171C0" w:rsidP="00F171C0">
      <w:pPr>
        <w:pStyle w:val="0Maintext"/>
        <w:spacing w:after="120" w:afterAutospacing="0" w:line="240" w:lineRule="auto"/>
        <w:ind w:firstLine="0"/>
        <w:rPr>
          <w:rFonts w:eastAsia="Malgun Gothic" w:cs="Times"/>
        </w:rPr>
      </w:pPr>
      <w:r w:rsidRPr="00F61A78">
        <w:rPr>
          <w:b/>
          <w:bCs/>
          <w:lang w:val="en-US" w:eastAsia="zh-CN"/>
        </w:rPr>
        <w:t xml:space="preserve">Proposal </w:t>
      </w:r>
      <w:r w:rsidR="008438C3" w:rsidRPr="00F61A78">
        <w:rPr>
          <w:b/>
          <w:bCs/>
          <w:lang w:val="en-US" w:eastAsia="zh-CN"/>
        </w:rPr>
        <w:t>1</w:t>
      </w:r>
      <w:r w:rsidRPr="00F61A78">
        <w:rPr>
          <w:lang w:val="en-US" w:eastAsia="zh-CN"/>
        </w:rPr>
        <w:t xml:space="preserve">: </w:t>
      </w:r>
      <w:r w:rsidR="00365A86" w:rsidRPr="001A3273">
        <w:rPr>
          <w:rFonts w:eastAsia="Malgun Gothic" w:cs="Times"/>
        </w:rPr>
        <w:t>For SBFD operation</w:t>
      </w:r>
      <w:r w:rsidR="00365A86" w:rsidRPr="001A3273">
        <w:rPr>
          <w:rFonts w:cs="Times"/>
        </w:rPr>
        <w:t xml:space="preserve"> </w:t>
      </w:r>
      <w:r w:rsidR="00365A86" w:rsidRPr="001A3273">
        <w:rPr>
          <w:rFonts w:eastAsia="Malgun Gothic" w:cs="Times"/>
        </w:rPr>
        <w:t xml:space="preserve">in a symbol configured as flexible in </w:t>
      </w:r>
      <w:r w:rsidR="00365A86" w:rsidRPr="001A3273">
        <w:rPr>
          <w:rFonts w:cs="Times"/>
          <w:i/>
          <w:iCs/>
        </w:rPr>
        <w:t>TDD-UL-DL-ConfigCommon</w:t>
      </w:r>
      <w:r w:rsidR="00365A86" w:rsidRPr="001A3273">
        <w:rPr>
          <w:rFonts w:eastAsia="Malgun Gothic" w:cs="Times"/>
        </w:rPr>
        <w:t>,</w:t>
      </w:r>
      <w:r w:rsidR="00365A86">
        <w:rPr>
          <w:rFonts w:eastAsia="Malgun Gothic" w:cs="Times"/>
        </w:rPr>
        <w:t xml:space="preserve"> the baseline will be Option 1.</w:t>
      </w:r>
    </w:p>
    <w:p w14:paraId="37A20137" w14:textId="77777777" w:rsidR="007126A2" w:rsidRPr="00F61A78" w:rsidRDefault="007126A2" w:rsidP="00F171C0">
      <w:pPr>
        <w:pStyle w:val="0Maintext"/>
        <w:spacing w:after="120" w:afterAutospacing="0" w:line="240" w:lineRule="auto"/>
        <w:ind w:firstLine="0"/>
      </w:pPr>
    </w:p>
    <w:p w14:paraId="0B70822F" w14:textId="24F400E9" w:rsidR="00F171C0" w:rsidRDefault="007126A2" w:rsidP="00B5429D">
      <w:pPr>
        <w:jc w:val="both"/>
        <w:rPr>
          <w:sz w:val="20"/>
          <w:szCs w:val="20"/>
        </w:rPr>
      </w:pPr>
      <w:r>
        <w:rPr>
          <w:sz w:val="20"/>
          <w:szCs w:val="20"/>
        </w:rPr>
        <w:t xml:space="preserve">In RAN1#111, it was agreed to study resource allocation for a SBFD aware UE within a SBFD symbol. </w:t>
      </w:r>
    </w:p>
    <w:p w14:paraId="376BEDB5" w14:textId="1F794534" w:rsidR="007126A2" w:rsidRPr="007126A2" w:rsidRDefault="007126A2" w:rsidP="007126A2">
      <w:pPr>
        <w:jc w:val="both"/>
        <w:rPr>
          <w:rFonts w:eastAsia="Malgun Gothic"/>
          <w:b/>
          <w:sz w:val="20"/>
          <w:szCs w:val="20"/>
          <w:highlight w:val="green"/>
        </w:rPr>
      </w:pPr>
      <w:r w:rsidRPr="007126A2">
        <w:rPr>
          <w:rFonts w:eastAsia="Malgun Gothic"/>
          <w:b/>
          <w:sz w:val="20"/>
          <w:szCs w:val="20"/>
          <w:highlight w:val="green"/>
        </w:rPr>
        <w:t xml:space="preserve">Agreement </w:t>
      </w:r>
    </w:p>
    <w:p w14:paraId="428B1AE9" w14:textId="77777777" w:rsidR="007126A2" w:rsidRPr="007126A2" w:rsidRDefault="007126A2" w:rsidP="007126A2">
      <w:pPr>
        <w:spacing w:after="120"/>
        <w:jc w:val="both"/>
        <w:rPr>
          <w:rFonts w:eastAsia="Microsoft YaHei"/>
          <w:sz w:val="20"/>
          <w:szCs w:val="20"/>
        </w:rPr>
      </w:pPr>
      <w:r w:rsidRPr="007126A2">
        <w:rPr>
          <w:rFonts w:eastAsia="Microsoft YaHei"/>
          <w:sz w:val="20"/>
          <w:szCs w:val="20"/>
        </w:rPr>
        <w:t>Study the impact and benefits of potential enhancements to resource allocation in frequency-domain for SBFD operation, considering unaligned boundaries between resource block group(s)/reporting subband(s) and SBFD subbands, including</w:t>
      </w:r>
      <w:r w:rsidRPr="007126A2">
        <w:rPr>
          <w:rFonts w:eastAsia="Malgun Gothic"/>
          <w:sz w:val="20"/>
          <w:szCs w:val="20"/>
        </w:rPr>
        <w:t xml:space="preserve"> at least the following:</w:t>
      </w:r>
    </w:p>
    <w:p w14:paraId="6D943488" w14:textId="77777777" w:rsidR="007126A2" w:rsidRPr="007126A2" w:rsidRDefault="007126A2" w:rsidP="007126A2">
      <w:pPr>
        <w:pStyle w:val="ListParagraph"/>
        <w:numPr>
          <w:ilvl w:val="0"/>
          <w:numId w:val="31"/>
        </w:numPr>
        <w:suppressAutoHyphens/>
        <w:spacing w:after="50"/>
        <w:ind w:leftChars="0"/>
        <w:rPr>
          <w:rFonts w:ascii="Times New Roman" w:eastAsia="Malgun Gothic" w:hAnsi="Times New Roman"/>
          <w:szCs w:val="20"/>
        </w:rPr>
      </w:pPr>
      <w:r w:rsidRPr="007126A2">
        <w:rPr>
          <w:rFonts w:ascii="Times New Roman" w:eastAsia="Malgun Gothic" w:hAnsi="Times New Roman"/>
          <w:szCs w:val="20"/>
        </w:rPr>
        <w:t>RBG for PDSCH RA type 0</w:t>
      </w:r>
    </w:p>
    <w:p w14:paraId="69B04814" w14:textId="77777777" w:rsidR="007126A2" w:rsidRPr="007126A2" w:rsidRDefault="007126A2" w:rsidP="007126A2">
      <w:pPr>
        <w:pStyle w:val="ListParagraph"/>
        <w:numPr>
          <w:ilvl w:val="0"/>
          <w:numId w:val="31"/>
        </w:numPr>
        <w:suppressAutoHyphens/>
        <w:spacing w:after="50"/>
        <w:ind w:leftChars="0"/>
        <w:rPr>
          <w:rFonts w:ascii="Times New Roman" w:eastAsia="Malgun Gothic" w:hAnsi="Times New Roman"/>
          <w:szCs w:val="20"/>
        </w:rPr>
      </w:pPr>
      <w:r w:rsidRPr="007126A2">
        <w:rPr>
          <w:rFonts w:ascii="Times New Roman" w:eastAsia="Malgun Gothic" w:hAnsi="Times New Roman"/>
          <w:szCs w:val="20"/>
        </w:rPr>
        <w:t>CSI reporting configuration</w:t>
      </w:r>
    </w:p>
    <w:p w14:paraId="2ACA1F14" w14:textId="77777777" w:rsidR="007126A2" w:rsidRPr="007126A2" w:rsidRDefault="007126A2" w:rsidP="007126A2">
      <w:pPr>
        <w:pStyle w:val="ListParagraph"/>
        <w:numPr>
          <w:ilvl w:val="0"/>
          <w:numId w:val="31"/>
        </w:numPr>
        <w:suppressAutoHyphens/>
        <w:spacing w:after="50"/>
        <w:ind w:leftChars="0"/>
        <w:rPr>
          <w:rFonts w:ascii="Times New Roman" w:eastAsia="Malgun Gothic" w:hAnsi="Times New Roman"/>
          <w:color w:val="FF0000"/>
          <w:szCs w:val="20"/>
        </w:rPr>
      </w:pPr>
      <w:r w:rsidRPr="007126A2">
        <w:rPr>
          <w:rFonts w:ascii="Times New Roman" w:eastAsia="Malgun Gothic" w:hAnsi="Times New Roman"/>
          <w:color w:val="FF0000"/>
          <w:szCs w:val="20"/>
        </w:rPr>
        <w:t>CSI-RS resource configuration</w:t>
      </w:r>
    </w:p>
    <w:p w14:paraId="271706C0" w14:textId="77777777" w:rsidR="007126A2" w:rsidRPr="007126A2" w:rsidRDefault="007126A2" w:rsidP="007126A2">
      <w:pPr>
        <w:pStyle w:val="ListParagraph"/>
        <w:numPr>
          <w:ilvl w:val="0"/>
          <w:numId w:val="31"/>
        </w:numPr>
        <w:suppressAutoHyphens/>
        <w:spacing w:after="50"/>
        <w:ind w:leftChars="0"/>
        <w:rPr>
          <w:rFonts w:ascii="Times New Roman" w:eastAsia="Malgun Gothic" w:hAnsi="Times New Roman"/>
          <w:szCs w:val="20"/>
        </w:rPr>
      </w:pPr>
      <w:r w:rsidRPr="007126A2">
        <w:rPr>
          <w:rFonts w:ascii="Times New Roman" w:eastAsia="Malgun Gothic" w:hAnsi="Times New Roman"/>
          <w:szCs w:val="20"/>
        </w:rPr>
        <w:t>PRG of PDSCH</w:t>
      </w:r>
    </w:p>
    <w:p w14:paraId="634DB6D5" w14:textId="5D156A07" w:rsidR="007126A2" w:rsidRDefault="007126A2" w:rsidP="00B5429D">
      <w:pPr>
        <w:jc w:val="both"/>
        <w:rPr>
          <w:sz w:val="20"/>
          <w:szCs w:val="20"/>
        </w:rPr>
      </w:pPr>
    </w:p>
    <w:p w14:paraId="097966D9" w14:textId="6A45C20B" w:rsidR="007126A2" w:rsidRDefault="007126A2" w:rsidP="007126A2">
      <w:pPr>
        <w:jc w:val="both"/>
        <w:rPr>
          <w:sz w:val="20"/>
          <w:szCs w:val="20"/>
        </w:rPr>
      </w:pPr>
      <w:r w:rsidRPr="007126A2">
        <w:rPr>
          <w:sz w:val="20"/>
          <w:szCs w:val="20"/>
        </w:rPr>
        <w:t>For CSI-RS resource configuration within SBFD symbol</w:t>
      </w:r>
      <w:r>
        <w:rPr>
          <w:sz w:val="20"/>
          <w:szCs w:val="20"/>
        </w:rPr>
        <w:t xml:space="preserve">, generally speaking two options can be considered. In one option, UE can be configured with a single CSI-RS resource where the CSI-RS configuration parameters is potentially applicable to both legacy TDD and SBFD symbols, except few configuration parameters like </w:t>
      </w:r>
      <w:r w:rsidRPr="007126A2">
        <w:rPr>
          <w:i/>
          <w:iCs/>
          <w:sz w:val="20"/>
          <w:szCs w:val="20"/>
        </w:rPr>
        <w:t>startingRB</w:t>
      </w:r>
      <w:r>
        <w:rPr>
          <w:sz w:val="20"/>
          <w:szCs w:val="20"/>
        </w:rPr>
        <w:t xml:space="preserve">, </w:t>
      </w:r>
      <w:r w:rsidRPr="007126A2">
        <w:rPr>
          <w:i/>
          <w:iCs/>
          <w:sz w:val="20"/>
          <w:szCs w:val="20"/>
        </w:rPr>
        <w:t>nrofPorts</w:t>
      </w:r>
      <w:r>
        <w:rPr>
          <w:sz w:val="20"/>
          <w:szCs w:val="20"/>
        </w:rPr>
        <w:t>, etc which could be different for CSI-RS reception in legacy TDD and SBFD symbols. Alternatively, UE can be configured with two CSI-RS resources each associated to one of DL sub-bands. In our view, the first Option is good enough, where a single CSI-RS measurement is simply mapped to a single CSI report.</w:t>
      </w:r>
    </w:p>
    <w:p w14:paraId="11320B26" w14:textId="77777777" w:rsidR="00E611A2" w:rsidRDefault="00E611A2" w:rsidP="007126A2">
      <w:pPr>
        <w:jc w:val="both"/>
        <w:rPr>
          <w:sz w:val="20"/>
          <w:szCs w:val="20"/>
        </w:rPr>
      </w:pPr>
    </w:p>
    <w:p w14:paraId="62382DBB" w14:textId="3304ADED" w:rsidR="00A56B27" w:rsidRDefault="007126A2" w:rsidP="007126A2">
      <w:pPr>
        <w:pStyle w:val="0Maintext"/>
        <w:spacing w:after="120" w:afterAutospacing="0" w:line="240" w:lineRule="auto"/>
        <w:ind w:firstLine="0"/>
      </w:pPr>
      <w:r w:rsidRPr="00F61A78">
        <w:rPr>
          <w:b/>
          <w:bCs/>
          <w:lang w:val="en-US" w:eastAsia="zh-CN"/>
        </w:rPr>
        <w:t xml:space="preserve">Proposal </w:t>
      </w:r>
      <w:r>
        <w:rPr>
          <w:b/>
          <w:bCs/>
          <w:lang w:val="en-US" w:eastAsia="zh-CN"/>
        </w:rPr>
        <w:t>2</w:t>
      </w:r>
      <w:r w:rsidRPr="00F61A78">
        <w:rPr>
          <w:lang w:val="en-US" w:eastAsia="zh-CN"/>
        </w:rPr>
        <w:t>:</w:t>
      </w:r>
      <w:r w:rsidRPr="007126A2">
        <w:t xml:space="preserve"> UE can be configured with a CSI-RS resource configuration which is common between legacy TDD and SBFD symbol with </w:t>
      </w:r>
      <w:r>
        <w:t xml:space="preserve">possibly </w:t>
      </w:r>
      <w:r w:rsidRPr="007126A2">
        <w:t xml:space="preserve">modifications </w:t>
      </w:r>
      <w:r w:rsidR="00B6406F">
        <w:t>of few parameters (</w:t>
      </w:r>
      <w:r w:rsidR="00B6406F" w:rsidRPr="007126A2">
        <w:rPr>
          <w:i/>
          <w:iCs/>
        </w:rPr>
        <w:t>nrofPorts</w:t>
      </w:r>
      <w:r w:rsidR="00B6406F">
        <w:t xml:space="preserve">, </w:t>
      </w:r>
      <w:r w:rsidR="00B6406F" w:rsidRPr="007126A2">
        <w:rPr>
          <w:i/>
          <w:iCs/>
        </w:rPr>
        <w:t>startingRB</w:t>
      </w:r>
      <w:r w:rsidR="00B6406F">
        <w:t xml:space="preserve">, etc) </w:t>
      </w:r>
      <w:r w:rsidRPr="007126A2">
        <w:t>for reception of CSI-RS in SBFD symbol</w:t>
      </w:r>
      <w:r w:rsidR="00A56B27">
        <w:t>.</w:t>
      </w:r>
    </w:p>
    <w:p w14:paraId="55912E05" w14:textId="77777777" w:rsidR="00674071" w:rsidRPr="00674071" w:rsidRDefault="00674071" w:rsidP="007126A2">
      <w:pPr>
        <w:pStyle w:val="0Maintext"/>
        <w:spacing w:after="120" w:afterAutospacing="0" w:line="240" w:lineRule="auto"/>
        <w:ind w:firstLine="0"/>
      </w:pPr>
    </w:p>
    <w:p w14:paraId="2494AB9F" w14:textId="757E2F77" w:rsidR="00E611A2" w:rsidRDefault="00674071" w:rsidP="00E611A2">
      <w:pPr>
        <w:pStyle w:val="0Maintext"/>
        <w:spacing w:after="0" w:afterAutospacing="0" w:line="240" w:lineRule="auto"/>
        <w:ind w:firstLine="0"/>
        <w:rPr>
          <w:rFonts w:eastAsia="Malgun Gothic" w:cs="Times"/>
          <w:lang w:val="en-US"/>
        </w:rPr>
      </w:pPr>
      <w:r>
        <w:rPr>
          <w:rFonts w:eastAsia="Malgun Gothic" w:cs="Times"/>
        </w:rPr>
        <w:t xml:space="preserve">In current specification, </w:t>
      </w:r>
      <w:r>
        <w:rPr>
          <w:rFonts w:eastAsia="Malgun Gothic" w:cs="Times"/>
          <w:lang w:val="en-US"/>
        </w:rPr>
        <w:t>frequency domain resource allocation</w:t>
      </w:r>
      <w:r w:rsidRPr="00674071">
        <w:rPr>
          <w:rFonts w:eastAsia="Malgun Gothic" w:cs="Times"/>
          <w:lang w:val="en-US"/>
        </w:rPr>
        <w:t xml:space="preserve"> </w:t>
      </w:r>
      <w:r w:rsidR="00F432F6" w:rsidRPr="00674071">
        <w:rPr>
          <w:rFonts w:eastAsia="Malgun Gothic" w:cs="Times"/>
          <w:lang w:val="en-US"/>
        </w:rPr>
        <w:t>Type 0</w:t>
      </w:r>
      <w:r w:rsidR="00F432F6">
        <w:rPr>
          <w:rFonts w:eastAsia="Malgun Gothic" w:cs="Times"/>
          <w:lang w:val="en-US"/>
        </w:rPr>
        <w:t xml:space="preserve"> </w:t>
      </w:r>
      <w:r w:rsidRPr="00674071">
        <w:rPr>
          <w:rFonts w:eastAsia="Malgun Gothic" w:cs="Times"/>
          <w:lang w:val="en-US"/>
        </w:rPr>
        <w:t>is bitmap based (</w:t>
      </w:r>
      <w:r w:rsidR="00F432F6" w:rsidRPr="00674071">
        <w:rPr>
          <w:rFonts w:eastAsia="Malgun Gothic" w:cs="Times"/>
          <w:lang w:val="en-US"/>
        </w:rPr>
        <w:t>i.e.</w:t>
      </w:r>
      <w:r w:rsidRPr="00674071">
        <w:rPr>
          <w:rFonts w:eastAsia="Malgun Gothic" w:cs="Times"/>
          <w:lang w:val="en-US"/>
        </w:rPr>
        <w:t xml:space="preserve"> not necessarily consecutive allocation)</w:t>
      </w:r>
      <w:r>
        <w:rPr>
          <w:rFonts w:eastAsia="Malgun Gothic" w:cs="Times"/>
          <w:lang w:val="en-US"/>
        </w:rPr>
        <w:t>,</w:t>
      </w:r>
      <w:r w:rsidRPr="00674071">
        <w:rPr>
          <w:rFonts w:eastAsia="Malgun Gothic" w:cs="Times"/>
          <w:lang w:val="en-US"/>
        </w:rPr>
        <w:t xml:space="preserve"> where allocation indicates which RBGs are assigned</w:t>
      </w:r>
      <w:r>
        <w:rPr>
          <w:rFonts w:eastAsia="Malgun Gothic" w:cs="Times"/>
          <w:lang w:val="en-US"/>
        </w:rPr>
        <w:t xml:space="preserve">. </w:t>
      </w:r>
      <w:r w:rsidRPr="00674071">
        <w:rPr>
          <w:rFonts w:eastAsia="Malgun Gothic" w:cs="Times"/>
          <w:lang w:val="en-US"/>
        </w:rPr>
        <w:t>RBG is a set of consecutive RBs where nominal RBG size depends on active BWP size</w:t>
      </w:r>
      <w:r>
        <w:rPr>
          <w:rFonts w:eastAsia="Malgun Gothic" w:cs="Times"/>
        </w:rPr>
        <w:t xml:space="preserve">. </w:t>
      </w:r>
      <w:r w:rsidRPr="00674071">
        <w:rPr>
          <w:rFonts w:eastAsia="Malgun Gothic" w:cs="Times"/>
          <w:lang w:val="en-US"/>
        </w:rPr>
        <w:t>First and last RBG may have a different actual RBG size</w:t>
      </w:r>
      <w:r>
        <w:rPr>
          <w:rFonts w:eastAsia="Malgun Gothic" w:cs="Times"/>
          <w:lang w:val="en-US"/>
        </w:rPr>
        <w:t xml:space="preserve">, </w:t>
      </w:r>
      <w:r w:rsidRPr="00674071">
        <w:rPr>
          <w:rFonts w:eastAsia="Malgun Gothic" w:cs="Times"/>
          <w:lang w:val="en-US"/>
        </w:rPr>
        <w:t xml:space="preserve">depending on the BWP starting RB and BWP size, </w:t>
      </w:r>
      <w:r>
        <w:rPr>
          <w:rFonts w:eastAsia="Malgun Gothic" w:cs="Times"/>
          <w:lang w:val="en-US"/>
        </w:rPr>
        <w:t>as specified in</w:t>
      </w:r>
      <w:r w:rsidRPr="00674071">
        <w:rPr>
          <w:rFonts w:eastAsia="Malgun Gothic" w:cs="Times"/>
          <w:lang w:val="en-US"/>
        </w:rPr>
        <w:t xml:space="preserve"> 38.214, 5.1.2.2.1</w:t>
      </w:r>
      <w:r>
        <w:rPr>
          <w:rFonts w:eastAsia="Malgun Gothic" w:cs="Times"/>
          <w:lang w:val="en-US"/>
        </w:rPr>
        <w:t>.</w:t>
      </w:r>
      <w:r w:rsidR="00F432F6">
        <w:rPr>
          <w:rFonts w:eastAsia="Malgun Gothic" w:cs="Times"/>
          <w:lang w:val="en-US"/>
        </w:rPr>
        <w:t xml:space="preserve"> For PDSCH FDRA type 0, the question is how to determine the nominal and actual RBGs within a SBFD symbol. In our view, adopting the current spec (which is based on CRB#0) is good enough where nominal RBGs that are not usable for DL reception, for example those that </w:t>
      </w:r>
      <w:r w:rsidR="00BA7415">
        <w:rPr>
          <w:rFonts w:eastAsia="Malgun Gothic" w:cs="Times"/>
          <w:lang w:val="en-US"/>
        </w:rPr>
        <w:t>partially overlap</w:t>
      </w:r>
      <w:r w:rsidR="00F432F6">
        <w:rPr>
          <w:rFonts w:eastAsia="Malgun Gothic" w:cs="Times"/>
          <w:lang w:val="en-US"/>
        </w:rPr>
        <w:t xml:space="preserve"> with guard bands or UL sub-band, are completely or partially dropped. </w:t>
      </w:r>
      <w:r w:rsidR="00BA7415">
        <w:rPr>
          <w:rFonts w:eastAsia="Malgun Gothic" w:cs="Times"/>
          <w:lang w:val="en-US"/>
        </w:rPr>
        <w:t>Besides, UE does not expect a bitmap indication a RBG that is fully within guard bands or UL sub-band. Based on this discussion, we have the following proposal:</w:t>
      </w:r>
    </w:p>
    <w:p w14:paraId="04EFD6C1" w14:textId="77777777" w:rsidR="00E611A2" w:rsidRDefault="00E611A2" w:rsidP="00E611A2">
      <w:pPr>
        <w:pStyle w:val="0Maintext"/>
        <w:spacing w:after="0" w:afterAutospacing="0" w:line="240" w:lineRule="auto"/>
        <w:ind w:firstLine="0"/>
        <w:rPr>
          <w:rFonts w:eastAsia="Malgun Gothic" w:cs="Times"/>
          <w:lang w:val="en-US"/>
        </w:rPr>
      </w:pPr>
    </w:p>
    <w:p w14:paraId="45738B88" w14:textId="51B840A4" w:rsidR="00BA7415" w:rsidRPr="00E611A2" w:rsidRDefault="00BA7415" w:rsidP="00E611A2">
      <w:pPr>
        <w:pStyle w:val="0Maintext"/>
        <w:spacing w:after="0" w:afterAutospacing="0" w:line="240" w:lineRule="auto"/>
        <w:ind w:firstLine="0"/>
        <w:rPr>
          <w:rFonts w:eastAsia="Malgun Gothic" w:cs="Times"/>
          <w:lang w:val="en-US"/>
        </w:rPr>
      </w:pPr>
      <w:r w:rsidRPr="00BA7415">
        <w:rPr>
          <w:rFonts w:eastAsia="Malgun Gothic" w:cs="Times"/>
          <w:b/>
          <w:bCs/>
        </w:rPr>
        <w:t>Proposal 3</w:t>
      </w:r>
      <w:r w:rsidRPr="00BA7415">
        <w:rPr>
          <w:rFonts w:eastAsia="Malgun Gothic" w:cs="Times"/>
        </w:rPr>
        <w:t>: For PDSCH FDRA type 0 within SBFD symbol</w:t>
      </w:r>
      <w:r>
        <w:rPr>
          <w:rFonts w:eastAsia="Malgun Gothic" w:cs="Times"/>
          <w:b/>
          <w:bCs/>
        </w:rPr>
        <w:t xml:space="preserve">, </w:t>
      </w:r>
      <w:r w:rsidRPr="00BA7415">
        <w:rPr>
          <w:rFonts w:eastAsia="Malgun Gothic" w:cs="Times"/>
        </w:rPr>
        <w:t>the nominal RBG size is based on DL BWP size (same as legacy TDD symbol)</w:t>
      </w:r>
      <w:r>
        <w:rPr>
          <w:rFonts w:eastAsia="Malgun Gothic" w:cs="Times"/>
        </w:rPr>
        <w:t xml:space="preserve">, </w:t>
      </w:r>
      <w:r w:rsidRPr="00BA7415">
        <w:rPr>
          <w:rFonts w:eastAsia="Malgun Gothic" w:cs="Times"/>
        </w:rPr>
        <w:t>UE does not expect to be indicated with RBGs that fully lie in UL sub-band or (guard band)</w:t>
      </w:r>
    </w:p>
    <w:p w14:paraId="78587D08" w14:textId="58A22FEA" w:rsidR="00BA7415" w:rsidRPr="00BA7415" w:rsidRDefault="00BA7415" w:rsidP="00BA7415">
      <w:pPr>
        <w:pStyle w:val="0Maintext"/>
        <w:numPr>
          <w:ilvl w:val="0"/>
          <w:numId w:val="32"/>
        </w:numPr>
        <w:spacing w:after="0" w:afterAutospacing="0" w:line="240" w:lineRule="auto"/>
        <w:rPr>
          <w:rFonts w:eastAsia="Malgun Gothic" w:cs="Times"/>
        </w:rPr>
      </w:pPr>
      <w:r>
        <w:rPr>
          <w:rFonts w:eastAsia="Malgun Gothic" w:cs="Times"/>
        </w:rPr>
        <w:t xml:space="preserve">FFS: </w:t>
      </w:r>
      <w:r w:rsidRPr="00BA7415">
        <w:rPr>
          <w:rFonts w:eastAsia="Malgun Gothic" w:cs="Times"/>
        </w:rPr>
        <w:t>RBGs that partially overlap with guard band or UL sub-band</w:t>
      </w:r>
    </w:p>
    <w:p w14:paraId="3037AE37" w14:textId="2AA8527E" w:rsidR="00BA7415" w:rsidRDefault="00BA7415" w:rsidP="00674071">
      <w:pPr>
        <w:pStyle w:val="0Maintext"/>
        <w:spacing w:after="120" w:afterAutospacing="0" w:line="240" w:lineRule="auto"/>
        <w:ind w:firstLine="0"/>
        <w:rPr>
          <w:rFonts w:eastAsia="Malgun Gothic" w:cs="Times"/>
        </w:rPr>
      </w:pPr>
    </w:p>
    <w:p w14:paraId="18B8B0E5" w14:textId="12240627" w:rsidR="006C1202" w:rsidRPr="00F171C0" w:rsidRDefault="006C1202" w:rsidP="006C1202">
      <w:pPr>
        <w:pStyle w:val="Heading2"/>
      </w:pPr>
      <w:r>
        <w:t>Conflict resolution</w:t>
      </w:r>
    </w:p>
    <w:p w14:paraId="16716EE9" w14:textId="13694588" w:rsidR="006C1202" w:rsidRDefault="00DB0DF0" w:rsidP="00674071">
      <w:pPr>
        <w:pStyle w:val="0Maintext"/>
        <w:spacing w:after="120" w:afterAutospacing="0" w:line="240" w:lineRule="auto"/>
        <w:ind w:firstLine="0"/>
        <w:rPr>
          <w:rFonts w:eastAsia="Malgun Gothic" w:cs="Times"/>
        </w:rPr>
      </w:pPr>
      <w:r>
        <w:rPr>
          <w:rFonts w:eastAsia="Malgun Gothic" w:cs="Times"/>
        </w:rPr>
        <w:t>It was agreed in RAN1#110b-e that</w:t>
      </w:r>
    </w:p>
    <w:p w14:paraId="3B13CAD4" w14:textId="3E7D7BD7" w:rsidR="00DB0DF0" w:rsidRPr="00DB0DF0" w:rsidRDefault="00DB0DF0" w:rsidP="00DB0DF0">
      <w:pPr>
        <w:jc w:val="both"/>
        <w:rPr>
          <w:rFonts w:eastAsia="Malgun Gothic"/>
          <w:b/>
          <w:sz w:val="20"/>
          <w:szCs w:val="20"/>
          <w:highlight w:val="green"/>
        </w:rPr>
      </w:pPr>
      <w:r w:rsidRPr="00DB0DF0">
        <w:rPr>
          <w:rFonts w:eastAsia="Malgun Gothic"/>
          <w:b/>
          <w:sz w:val="20"/>
          <w:szCs w:val="20"/>
          <w:highlight w:val="green"/>
        </w:rPr>
        <w:t>Agreement</w:t>
      </w:r>
    </w:p>
    <w:p w14:paraId="0158F0AD" w14:textId="77777777" w:rsidR="00DB0DF0" w:rsidRPr="00DB0DF0" w:rsidRDefault="00DB0DF0" w:rsidP="00DB0DF0">
      <w:pPr>
        <w:rPr>
          <w:rFonts w:eastAsia="Malgun Gothic"/>
          <w:sz w:val="20"/>
          <w:szCs w:val="20"/>
        </w:rPr>
      </w:pPr>
      <w:r w:rsidRPr="00DB0DF0">
        <w:rPr>
          <w:rFonts w:eastAsia="Malgun Gothic"/>
          <w:sz w:val="20"/>
          <w:szCs w:val="20"/>
        </w:rPr>
        <w:lastRenderedPageBreak/>
        <w:t xml:space="preserve">Identify if there are any cases of time domain conflict of UE’s UL and DL operation in the same SBFD symbol for SBFD aware UE </w:t>
      </w:r>
    </w:p>
    <w:p w14:paraId="4C15BF2A" w14:textId="77777777" w:rsidR="00DB0DF0" w:rsidRPr="00DB0DF0" w:rsidRDefault="00DB0DF0" w:rsidP="00DB0DF0">
      <w:pPr>
        <w:numPr>
          <w:ilvl w:val="0"/>
          <w:numId w:val="29"/>
        </w:numPr>
        <w:rPr>
          <w:sz w:val="20"/>
          <w:szCs w:val="20"/>
          <w:lang w:eastAsia="ko-KR"/>
        </w:rPr>
      </w:pPr>
      <w:r w:rsidRPr="00DB0DF0">
        <w:rPr>
          <w:sz w:val="20"/>
          <w:szCs w:val="20"/>
          <w:lang w:eastAsia="ko-KR"/>
        </w:rPr>
        <w:t>If there are, whether/how to avoid/handle such collision cases (as second step)</w:t>
      </w:r>
    </w:p>
    <w:p w14:paraId="4784573E" w14:textId="489D2625" w:rsidR="00DB0DF0" w:rsidRDefault="00DB0DF0" w:rsidP="00674071">
      <w:pPr>
        <w:pStyle w:val="0Maintext"/>
        <w:spacing w:after="120" w:afterAutospacing="0" w:line="240" w:lineRule="auto"/>
        <w:ind w:firstLine="0"/>
        <w:rPr>
          <w:rFonts w:eastAsia="Malgun Gothic" w:cs="Times"/>
        </w:rPr>
      </w:pPr>
    </w:p>
    <w:p w14:paraId="7CF18AC0" w14:textId="53C1BEB4" w:rsidR="00DB0DF0" w:rsidRDefault="00DB0DF0" w:rsidP="00DB0DF0">
      <w:pPr>
        <w:pStyle w:val="0Maintext"/>
        <w:spacing w:after="0" w:afterAutospacing="0" w:line="240" w:lineRule="auto"/>
        <w:ind w:firstLine="0"/>
        <w:rPr>
          <w:rFonts w:eastAsia="Malgun Gothic" w:cs="Times"/>
        </w:rPr>
      </w:pPr>
      <w:r>
        <w:rPr>
          <w:rFonts w:eastAsia="Malgun Gothic" w:cs="Times"/>
        </w:rPr>
        <w:t xml:space="preserve">In our view, such collision should be limited to the scenarios that at least one of the resources is a higher configured resource, e.g. a SPS, CSI-RS etc for DL or UL-CG, periodic PUCCH, periodic SRS, ETC FOR UL. In other words, UE does not expect to be indicated to simultaneously transmit and receive within a SBFD symbol by two dynamic indications. This behaviour is consistent with legacy TDD symbols.   </w:t>
      </w:r>
    </w:p>
    <w:p w14:paraId="4ABDEC09" w14:textId="77777777" w:rsidR="00DB0DF0" w:rsidRDefault="00DB0DF0" w:rsidP="00DB0DF0">
      <w:pPr>
        <w:pStyle w:val="0Maintext"/>
        <w:spacing w:after="0" w:afterAutospacing="0" w:line="240" w:lineRule="auto"/>
        <w:ind w:firstLine="0"/>
        <w:rPr>
          <w:rFonts w:eastAsia="Malgun Gothic" w:cs="Times"/>
        </w:rPr>
      </w:pPr>
    </w:p>
    <w:p w14:paraId="1782DC69" w14:textId="77777777" w:rsidR="00DB0DF0" w:rsidRDefault="00DB0DF0" w:rsidP="00DB0DF0">
      <w:pPr>
        <w:pStyle w:val="0Maintext"/>
        <w:spacing w:after="0" w:afterAutospacing="0" w:line="240" w:lineRule="auto"/>
        <w:ind w:firstLine="0"/>
        <w:rPr>
          <w:rFonts w:eastAsia="Malgun Gothic" w:cs="Times"/>
          <w:lang w:val="en-US"/>
        </w:rPr>
      </w:pPr>
      <w:r w:rsidRPr="00DB0DF0">
        <w:rPr>
          <w:rFonts w:eastAsia="Malgun Gothic" w:cs="Times"/>
          <w:b/>
          <w:bCs/>
          <w:lang w:val="en-US"/>
        </w:rPr>
        <w:t xml:space="preserve">Proposal </w:t>
      </w:r>
      <w:r>
        <w:rPr>
          <w:rFonts w:eastAsia="Malgun Gothic" w:cs="Times"/>
          <w:b/>
          <w:bCs/>
          <w:lang w:val="en-US"/>
        </w:rPr>
        <w:t>4</w:t>
      </w:r>
      <w:r w:rsidRPr="00DB0DF0">
        <w:rPr>
          <w:rFonts w:eastAsia="Malgun Gothic" w:cs="Times"/>
          <w:lang w:val="en-US"/>
        </w:rPr>
        <w:t>: If within a SBFD symbol a SBFD aware UE is scheduled to simultaneously receive and transmit, respectively on DL and UL sub-bands</w:t>
      </w:r>
      <w:r>
        <w:rPr>
          <w:rFonts w:eastAsia="Malgun Gothic" w:cs="Times"/>
          <w:lang w:val="en-US"/>
        </w:rPr>
        <w:t xml:space="preserve">, </w:t>
      </w:r>
      <w:r w:rsidRPr="00DB0DF0">
        <w:rPr>
          <w:rFonts w:eastAsia="Malgun Gothic" w:cs="Times"/>
          <w:lang w:val="en-US"/>
        </w:rPr>
        <w:t>dynamic grant is prioritized</w:t>
      </w:r>
      <w:r>
        <w:rPr>
          <w:rFonts w:eastAsia="Malgun Gothic" w:cs="Times"/>
          <w:lang w:val="en-US"/>
        </w:rPr>
        <w:t>.</w:t>
      </w:r>
    </w:p>
    <w:p w14:paraId="01BCE89F" w14:textId="130E6A34" w:rsidR="00DB0DF0" w:rsidRDefault="00DB0DF0" w:rsidP="00DB0DF0">
      <w:pPr>
        <w:pStyle w:val="0Maintext"/>
        <w:spacing w:after="0" w:afterAutospacing="0" w:line="240" w:lineRule="auto"/>
        <w:ind w:left="576" w:firstLine="0"/>
        <w:rPr>
          <w:rFonts w:eastAsia="Malgun Gothic" w:cs="Times"/>
          <w:lang w:val="en-US"/>
        </w:rPr>
      </w:pPr>
      <w:r>
        <w:rPr>
          <w:rFonts w:eastAsia="Malgun Gothic" w:cs="Times"/>
          <w:lang w:val="en-US"/>
        </w:rPr>
        <w:t>I</w:t>
      </w:r>
      <w:r w:rsidRPr="00DB0DF0">
        <w:rPr>
          <w:rFonts w:eastAsia="Malgun Gothic" w:cs="Times"/>
          <w:lang w:val="en-US"/>
        </w:rPr>
        <w:t xml:space="preserve">f </w:t>
      </w:r>
      <w:r>
        <w:rPr>
          <w:rFonts w:eastAsia="Malgun Gothic" w:cs="Times"/>
          <w:lang w:val="en-US"/>
        </w:rPr>
        <w:t>neither</w:t>
      </w:r>
      <w:r w:rsidRPr="00DB0DF0">
        <w:rPr>
          <w:rFonts w:eastAsia="Malgun Gothic" w:cs="Times"/>
          <w:lang w:val="en-US"/>
        </w:rPr>
        <w:t xml:space="preserve"> UL</w:t>
      </w:r>
      <w:r>
        <w:rPr>
          <w:rFonts w:eastAsia="Malgun Gothic" w:cs="Times"/>
          <w:lang w:val="en-US"/>
        </w:rPr>
        <w:t xml:space="preserve"> nor</w:t>
      </w:r>
      <w:r w:rsidRPr="00DB0DF0">
        <w:rPr>
          <w:rFonts w:eastAsia="Malgun Gothic" w:cs="Times"/>
          <w:lang w:val="en-US"/>
        </w:rPr>
        <w:t xml:space="preserve"> DL are dynamic</w:t>
      </w:r>
      <w:r>
        <w:rPr>
          <w:rFonts w:eastAsia="Malgun Gothic" w:cs="Times"/>
          <w:lang w:val="en-US"/>
        </w:rPr>
        <w:t>ally indicated, UL resource is prioritized</w:t>
      </w:r>
    </w:p>
    <w:p w14:paraId="2B0D147C" w14:textId="05F1ADAF" w:rsidR="00CF2CAD" w:rsidRDefault="00CF2CAD" w:rsidP="00DB0DF0">
      <w:pPr>
        <w:pStyle w:val="0Maintext"/>
        <w:spacing w:after="0" w:afterAutospacing="0" w:line="240" w:lineRule="auto"/>
        <w:ind w:left="576" w:firstLine="0"/>
        <w:rPr>
          <w:rFonts w:eastAsia="Malgun Gothic" w:cs="Times"/>
          <w:lang w:val="en-US"/>
        </w:rPr>
      </w:pPr>
    </w:p>
    <w:p w14:paraId="23A0D1BE" w14:textId="25DFE8BF" w:rsidR="00DE2340" w:rsidRDefault="00DE2340" w:rsidP="00DE2340">
      <w:pPr>
        <w:pStyle w:val="0Maintext"/>
        <w:spacing w:after="0" w:afterAutospacing="0" w:line="240" w:lineRule="auto"/>
        <w:ind w:firstLine="0"/>
        <w:rPr>
          <w:rFonts w:eastAsia="Malgun Gothic" w:cs="Times"/>
          <w:lang w:val="en-US"/>
        </w:rPr>
      </w:pPr>
      <w:r>
        <w:rPr>
          <w:rFonts w:eastAsia="Malgun Gothic" w:cs="Times"/>
          <w:lang w:val="en-US"/>
        </w:rPr>
        <w:t>We should note that once a dynamic grant cancels another grant, a cancellation timeline is defined which shall be met by the scheduler. Example is given in Fig. 1, where the PUSCH is an UL CG.</w:t>
      </w:r>
    </w:p>
    <w:p w14:paraId="3A7951AA" w14:textId="19F09CD0" w:rsidR="00DE2340" w:rsidRDefault="00DE2340" w:rsidP="00DE2340">
      <w:pPr>
        <w:pStyle w:val="0Maintext"/>
        <w:spacing w:after="0" w:afterAutospacing="0" w:line="240" w:lineRule="auto"/>
        <w:ind w:firstLine="0"/>
        <w:jc w:val="center"/>
        <w:rPr>
          <w:rFonts w:eastAsia="Malgun Gothic" w:cs="Times"/>
          <w:lang w:val="en-US"/>
        </w:rPr>
      </w:pPr>
      <w:r w:rsidRPr="00DE2340">
        <w:rPr>
          <w:rFonts w:eastAsia="Malgun Gothic" w:cs="Times"/>
          <w:noProof/>
          <w:lang w:val="en-US"/>
        </w:rPr>
        <w:drawing>
          <wp:inline distT="0" distB="0" distL="0" distR="0" wp14:anchorId="3C6ED1D9" wp14:editId="5DA93DED">
            <wp:extent cx="1638808" cy="12801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1667421" cy="1302511"/>
                    </a:xfrm>
                    <a:prstGeom prst="rect">
                      <a:avLst/>
                    </a:prstGeom>
                  </pic:spPr>
                </pic:pic>
              </a:graphicData>
            </a:graphic>
          </wp:inline>
        </w:drawing>
      </w:r>
    </w:p>
    <w:p w14:paraId="651D0E8C" w14:textId="1454B5FD" w:rsidR="00DE2340" w:rsidRDefault="00DE2340" w:rsidP="00DE2340">
      <w:pPr>
        <w:pStyle w:val="TH"/>
        <w:rPr>
          <w:lang w:val="en-US"/>
        </w:rPr>
      </w:pPr>
      <w:r>
        <w:rPr>
          <w:rFonts w:eastAsia="SimSun"/>
          <w:kern w:val="24"/>
          <w:lang w:val="en-GB" w:eastAsia="ja-JP"/>
        </w:rPr>
        <w:t>Figure 1</w:t>
      </w:r>
      <w:r>
        <w:rPr>
          <w:lang w:val="en-US"/>
        </w:rPr>
        <w:t xml:space="preserve">: Dynamic grant for PDSCH cancels UL CG PUSCH. </w:t>
      </w:r>
    </w:p>
    <w:p w14:paraId="3EBC9E98" w14:textId="77777777" w:rsidR="00DE2340" w:rsidRDefault="00DE2340" w:rsidP="00DE2340">
      <w:pPr>
        <w:pStyle w:val="0Maintext"/>
        <w:spacing w:after="0" w:afterAutospacing="0" w:line="240" w:lineRule="auto"/>
        <w:ind w:firstLine="0"/>
        <w:jc w:val="center"/>
        <w:rPr>
          <w:rFonts w:eastAsia="Malgun Gothic" w:cs="Times"/>
          <w:lang w:val="en-US"/>
        </w:rPr>
      </w:pPr>
    </w:p>
    <w:p w14:paraId="38E32D06" w14:textId="77777777" w:rsidR="00DE2340" w:rsidRPr="00674071" w:rsidRDefault="00DE2340" w:rsidP="00DE2340">
      <w:pPr>
        <w:pStyle w:val="0Maintext"/>
        <w:spacing w:after="0" w:afterAutospacing="0" w:line="240" w:lineRule="auto"/>
        <w:ind w:firstLine="0"/>
        <w:rPr>
          <w:rFonts w:eastAsia="Malgun Gothic" w:cs="Times"/>
          <w:lang w:val="en-US"/>
        </w:rPr>
      </w:pPr>
    </w:p>
    <w:p w14:paraId="4C55BD49" w14:textId="5D72882A" w:rsidR="003B6A47" w:rsidRPr="00B750B7" w:rsidRDefault="002D2BEB" w:rsidP="00B750B7">
      <w:pPr>
        <w:pStyle w:val="Heading2"/>
      </w:pPr>
      <w:r>
        <w:t>Identifying victim</w:t>
      </w:r>
      <w:r w:rsidR="00B750B7">
        <w:t xml:space="preserve"> and aggressor</w:t>
      </w:r>
      <w:r>
        <w:t xml:space="preserve"> UEs</w:t>
      </w:r>
    </w:p>
    <w:p w14:paraId="6F71CB51" w14:textId="509F3F6E" w:rsidR="00F943AF" w:rsidRDefault="00B5429D" w:rsidP="00B5429D">
      <w:pPr>
        <w:jc w:val="both"/>
        <w:rPr>
          <w:sz w:val="20"/>
          <w:szCs w:val="20"/>
        </w:rPr>
      </w:pPr>
      <w:r w:rsidRPr="00B5429D">
        <w:rPr>
          <w:sz w:val="20"/>
          <w:szCs w:val="20"/>
        </w:rPr>
        <w:t xml:space="preserve">If </w:t>
      </w:r>
      <w:r w:rsidR="00B67045">
        <w:rPr>
          <w:sz w:val="20"/>
          <w:szCs w:val="20"/>
        </w:rPr>
        <w:t xml:space="preserve">there is no mechanism to identify </w:t>
      </w:r>
      <w:r w:rsidR="00DB652D">
        <w:rPr>
          <w:sz w:val="20"/>
          <w:szCs w:val="20"/>
        </w:rPr>
        <w:t xml:space="preserve">potential </w:t>
      </w:r>
      <w:r w:rsidRPr="00B5429D">
        <w:rPr>
          <w:sz w:val="20"/>
          <w:szCs w:val="20"/>
        </w:rPr>
        <w:t>victim UE</w:t>
      </w:r>
      <w:r w:rsidR="00B67045">
        <w:rPr>
          <w:sz w:val="20"/>
          <w:szCs w:val="20"/>
        </w:rPr>
        <w:t>s</w:t>
      </w:r>
      <w:r w:rsidRPr="00B5429D">
        <w:rPr>
          <w:sz w:val="20"/>
          <w:szCs w:val="20"/>
        </w:rPr>
        <w:t xml:space="preserve">, </w:t>
      </w:r>
      <w:r w:rsidR="00B67045">
        <w:rPr>
          <w:sz w:val="20"/>
          <w:szCs w:val="20"/>
        </w:rPr>
        <w:t xml:space="preserve">an unprotected transmission by the aggressor </w:t>
      </w:r>
      <w:r w:rsidR="00F761C6" w:rsidRPr="008F533C">
        <w:rPr>
          <w:sz w:val="20"/>
          <w:szCs w:val="20"/>
        </w:rPr>
        <w:t>UE</w:t>
      </w:r>
      <w:r w:rsidR="00F761C6">
        <w:rPr>
          <w:sz w:val="20"/>
          <w:szCs w:val="20"/>
          <w:vertAlign w:val="subscript"/>
        </w:rPr>
        <w:t>A</w:t>
      </w:r>
      <w:r w:rsidR="00B67045">
        <w:rPr>
          <w:sz w:val="20"/>
          <w:szCs w:val="20"/>
        </w:rPr>
        <w:t xml:space="preserve"> may severely impact a nearby victim </w:t>
      </w:r>
      <w:r w:rsidR="00F761C6" w:rsidRPr="008F533C">
        <w:rPr>
          <w:sz w:val="20"/>
          <w:szCs w:val="20"/>
        </w:rPr>
        <w:t>UE</w:t>
      </w:r>
      <w:r w:rsidR="00F761C6" w:rsidRPr="008F533C">
        <w:rPr>
          <w:sz w:val="20"/>
          <w:szCs w:val="20"/>
          <w:vertAlign w:val="subscript"/>
        </w:rPr>
        <w:t>V</w:t>
      </w:r>
      <w:r w:rsidR="00B67045">
        <w:rPr>
          <w:sz w:val="20"/>
          <w:szCs w:val="20"/>
        </w:rPr>
        <w:t xml:space="preserve">. On the other hand, blindly </w:t>
      </w:r>
      <w:r w:rsidRPr="00B5429D">
        <w:rPr>
          <w:sz w:val="20"/>
          <w:szCs w:val="20"/>
        </w:rPr>
        <w:t xml:space="preserve">applying </w:t>
      </w:r>
      <w:r w:rsidR="00B67045">
        <w:rPr>
          <w:sz w:val="20"/>
          <w:szCs w:val="20"/>
        </w:rPr>
        <w:t xml:space="preserve">restrictions </w:t>
      </w:r>
      <w:r w:rsidRPr="00B5429D">
        <w:rPr>
          <w:sz w:val="20"/>
          <w:szCs w:val="20"/>
        </w:rPr>
        <w:t xml:space="preserve">to </w:t>
      </w:r>
      <w:r w:rsidR="008F533C">
        <w:rPr>
          <w:sz w:val="20"/>
          <w:szCs w:val="20"/>
        </w:rPr>
        <w:t>a</w:t>
      </w:r>
      <w:r w:rsidRPr="00B5429D">
        <w:rPr>
          <w:sz w:val="20"/>
          <w:szCs w:val="20"/>
        </w:rPr>
        <w:t xml:space="preserve"> UE</w:t>
      </w:r>
      <w:r w:rsidR="008F533C">
        <w:rPr>
          <w:sz w:val="20"/>
          <w:szCs w:val="20"/>
        </w:rPr>
        <w:t xml:space="preserve"> in uplink transmission</w:t>
      </w:r>
      <w:r w:rsidRPr="00B5429D">
        <w:rPr>
          <w:sz w:val="20"/>
          <w:szCs w:val="20"/>
        </w:rPr>
        <w:t xml:space="preserve"> </w:t>
      </w:r>
      <w:r w:rsidR="00B67045">
        <w:rPr>
          <w:sz w:val="20"/>
          <w:szCs w:val="20"/>
        </w:rPr>
        <w:t xml:space="preserve">(like reducing </w:t>
      </w:r>
      <w:r w:rsidR="008F533C">
        <w:rPr>
          <w:sz w:val="20"/>
          <w:szCs w:val="20"/>
        </w:rPr>
        <w:t xml:space="preserve">uplink </w:t>
      </w:r>
      <w:r w:rsidR="00B67045">
        <w:rPr>
          <w:sz w:val="20"/>
          <w:szCs w:val="20"/>
        </w:rPr>
        <w:t>transmit</w:t>
      </w:r>
      <w:r w:rsidR="00B67045" w:rsidRPr="00B5429D">
        <w:rPr>
          <w:sz w:val="20"/>
          <w:szCs w:val="20"/>
        </w:rPr>
        <w:t xml:space="preserve"> power</w:t>
      </w:r>
      <w:r w:rsidR="00B67045">
        <w:rPr>
          <w:sz w:val="20"/>
          <w:szCs w:val="20"/>
        </w:rPr>
        <w:t>)</w:t>
      </w:r>
      <w:r w:rsidR="008F533C">
        <w:rPr>
          <w:sz w:val="20"/>
          <w:szCs w:val="20"/>
        </w:rPr>
        <w:t xml:space="preserve"> can also unnecessarily impact the performance of the UE in uplink transmission, when there has been no nearby victim UE. </w:t>
      </w:r>
      <w:r w:rsidR="00DB652D">
        <w:rPr>
          <w:sz w:val="20"/>
          <w:szCs w:val="20"/>
        </w:rPr>
        <w:t>So,</w:t>
      </w:r>
      <w:r w:rsidR="008F533C">
        <w:rPr>
          <w:sz w:val="20"/>
          <w:szCs w:val="20"/>
        </w:rPr>
        <w:t xml:space="preserve"> it is crucial to have a mechanism based on which </w:t>
      </w:r>
      <w:r w:rsidR="008F533C" w:rsidRPr="008F533C">
        <w:rPr>
          <w:sz w:val="20"/>
          <w:szCs w:val="20"/>
        </w:rPr>
        <w:t>UE</w:t>
      </w:r>
      <w:r w:rsidR="008F533C" w:rsidRPr="008F533C">
        <w:rPr>
          <w:sz w:val="20"/>
          <w:szCs w:val="20"/>
          <w:vertAlign w:val="subscript"/>
        </w:rPr>
        <w:t>V</w:t>
      </w:r>
      <w:r w:rsidR="008F533C" w:rsidRPr="008F533C">
        <w:rPr>
          <w:sz w:val="20"/>
          <w:szCs w:val="20"/>
        </w:rPr>
        <w:t xml:space="preserve"> and UE</w:t>
      </w:r>
      <w:r w:rsidR="008F533C" w:rsidRPr="008F533C">
        <w:rPr>
          <w:sz w:val="20"/>
          <w:szCs w:val="20"/>
          <w:vertAlign w:val="subscript"/>
        </w:rPr>
        <w:t>A</w:t>
      </w:r>
      <w:r w:rsidR="008F533C" w:rsidRPr="008F533C">
        <w:rPr>
          <w:sz w:val="20"/>
          <w:szCs w:val="20"/>
        </w:rPr>
        <w:t xml:space="preserve"> are</w:t>
      </w:r>
      <w:r w:rsidR="008F533C">
        <w:rPr>
          <w:sz w:val="20"/>
          <w:szCs w:val="20"/>
        </w:rPr>
        <w:t xml:space="preserve"> identified. </w:t>
      </w:r>
      <w:r w:rsidR="00F943AF">
        <w:rPr>
          <w:sz w:val="20"/>
          <w:szCs w:val="20"/>
        </w:rPr>
        <w:t xml:space="preserve">To measure CLI (like RSSI, RSRP, etc), it was agreed in RAN1#110b-e that </w:t>
      </w:r>
    </w:p>
    <w:p w14:paraId="79879802" w14:textId="77777777" w:rsidR="00F943AF" w:rsidRPr="00F943AF" w:rsidRDefault="00F943AF" w:rsidP="00F943AF">
      <w:pPr>
        <w:jc w:val="both"/>
        <w:rPr>
          <w:rFonts w:eastAsia="Malgun Gothic"/>
          <w:b/>
          <w:sz w:val="20"/>
          <w:szCs w:val="20"/>
          <w:highlight w:val="green"/>
        </w:rPr>
      </w:pPr>
      <w:r w:rsidRPr="00F943AF">
        <w:rPr>
          <w:rFonts w:eastAsia="Malgun Gothic"/>
          <w:b/>
          <w:sz w:val="20"/>
          <w:szCs w:val="20"/>
          <w:highlight w:val="green"/>
        </w:rPr>
        <w:t>Agreement</w:t>
      </w:r>
    </w:p>
    <w:p w14:paraId="61DF76EA" w14:textId="77777777" w:rsidR="00F943AF" w:rsidRPr="00F943AF" w:rsidRDefault="00F943AF" w:rsidP="00F943AF">
      <w:pPr>
        <w:rPr>
          <w:rFonts w:eastAsia="Malgun Gothic"/>
          <w:sz w:val="20"/>
          <w:szCs w:val="20"/>
        </w:rPr>
      </w:pPr>
      <w:r w:rsidRPr="00F943AF">
        <w:rPr>
          <w:rFonts w:eastAsia="Malgun Gothic"/>
          <w:sz w:val="20"/>
          <w:szCs w:val="20"/>
        </w:rPr>
        <w:t>Study impact and potential enhancements of CSI-RS resource set frequency domain resource allocation and CSI reporting configuration across</w:t>
      </w:r>
      <w:r w:rsidRPr="00F943AF">
        <w:rPr>
          <w:sz w:val="20"/>
          <w:szCs w:val="20"/>
        </w:rPr>
        <w:t xml:space="preserve"> </w:t>
      </w:r>
      <w:r w:rsidRPr="00F943AF">
        <w:rPr>
          <w:rFonts w:eastAsia="Malgun Gothic"/>
          <w:sz w:val="20"/>
          <w:szCs w:val="20"/>
        </w:rPr>
        <w:t>non-contiguous DL subbands.</w:t>
      </w:r>
    </w:p>
    <w:p w14:paraId="03FCCDB6" w14:textId="77777777" w:rsidR="00F943AF" w:rsidRPr="00F943AF" w:rsidRDefault="00F943AF" w:rsidP="00F943AF">
      <w:pPr>
        <w:rPr>
          <w:sz w:val="20"/>
          <w:szCs w:val="20"/>
          <w:lang w:eastAsia="ko-KR"/>
        </w:rPr>
      </w:pPr>
    </w:p>
    <w:p w14:paraId="146C707F" w14:textId="77777777" w:rsidR="00F943AF" w:rsidRPr="00F943AF" w:rsidRDefault="00F943AF" w:rsidP="00F943AF">
      <w:pPr>
        <w:jc w:val="both"/>
        <w:rPr>
          <w:rFonts w:eastAsia="Malgun Gothic"/>
          <w:b/>
          <w:sz w:val="20"/>
          <w:szCs w:val="20"/>
          <w:highlight w:val="green"/>
        </w:rPr>
      </w:pPr>
      <w:r w:rsidRPr="00F943AF">
        <w:rPr>
          <w:rFonts w:eastAsia="Malgun Gothic"/>
          <w:b/>
          <w:sz w:val="20"/>
          <w:szCs w:val="20"/>
          <w:highlight w:val="green"/>
        </w:rPr>
        <w:t>Agreement</w:t>
      </w:r>
    </w:p>
    <w:p w14:paraId="1F248684" w14:textId="77777777" w:rsidR="00F943AF" w:rsidRPr="00F943AF" w:rsidRDefault="00F943AF" w:rsidP="00F943AF">
      <w:pPr>
        <w:rPr>
          <w:rFonts w:eastAsia="Malgun Gothic"/>
          <w:sz w:val="20"/>
          <w:szCs w:val="20"/>
        </w:rPr>
      </w:pPr>
      <w:r w:rsidRPr="00F943AF">
        <w:rPr>
          <w:rFonts w:eastAsia="Malgun Gothic"/>
          <w:sz w:val="20"/>
          <w:szCs w:val="20"/>
        </w:rPr>
        <w:t xml:space="preserve">Study impact/potential enhancements for UE-to-UE CLI-RSSI measurement/report considering non-contiguous </w:t>
      </w:r>
      <w:r w:rsidRPr="00F943AF">
        <w:rPr>
          <w:rFonts w:eastAsia="Malgun Gothic"/>
          <w:sz w:val="20"/>
          <w:szCs w:val="20"/>
          <w:lang w:eastAsia="ko-KR"/>
        </w:rPr>
        <w:t>measurement resource in frequency</w:t>
      </w:r>
      <w:r w:rsidRPr="00F943AF">
        <w:rPr>
          <w:rFonts w:eastAsia="Malgun Gothic"/>
          <w:sz w:val="20"/>
          <w:szCs w:val="20"/>
        </w:rPr>
        <w:t>.</w:t>
      </w:r>
    </w:p>
    <w:p w14:paraId="4B8AA934" w14:textId="77777777" w:rsidR="00F943AF" w:rsidRDefault="00F943AF" w:rsidP="00B5429D">
      <w:pPr>
        <w:jc w:val="both"/>
        <w:rPr>
          <w:sz w:val="20"/>
          <w:szCs w:val="20"/>
        </w:rPr>
      </w:pPr>
    </w:p>
    <w:p w14:paraId="72B3CF8C" w14:textId="1B287505" w:rsidR="00F943AF" w:rsidRDefault="00F943AF" w:rsidP="00B5429D">
      <w:pPr>
        <w:jc w:val="both"/>
        <w:rPr>
          <w:sz w:val="20"/>
          <w:szCs w:val="20"/>
        </w:rPr>
      </w:pPr>
      <w:r>
        <w:rPr>
          <w:sz w:val="20"/>
          <w:szCs w:val="20"/>
        </w:rPr>
        <w:t xml:space="preserve">In our view, non-contiguous CLI measurement resource can be configured for a victim </w:t>
      </w:r>
      <w:r w:rsidR="00F761C6" w:rsidRPr="008F533C">
        <w:rPr>
          <w:sz w:val="20"/>
          <w:szCs w:val="20"/>
        </w:rPr>
        <w:t>UE</w:t>
      </w:r>
      <w:r w:rsidR="00F761C6" w:rsidRPr="008F533C">
        <w:rPr>
          <w:sz w:val="20"/>
          <w:szCs w:val="20"/>
          <w:vertAlign w:val="subscript"/>
        </w:rPr>
        <w:t>V</w:t>
      </w:r>
      <w:r w:rsidR="00F761C6" w:rsidRPr="008F533C">
        <w:rPr>
          <w:sz w:val="20"/>
          <w:szCs w:val="20"/>
        </w:rPr>
        <w:t xml:space="preserve"> </w:t>
      </w:r>
      <w:r>
        <w:rPr>
          <w:sz w:val="20"/>
          <w:szCs w:val="20"/>
        </w:rPr>
        <w:t>(i.e., a UE in DL) across separate DL sub-bands</w:t>
      </w:r>
      <w:r w:rsidR="00F761C6">
        <w:rPr>
          <w:sz w:val="20"/>
          <w:szCs w:val="20"/>
        </w:rPr>
        <w:t xml:space="preserve"> or even within the UL subband</w:t>
      </w:r>
      <w:r>
        <w:rPr>
          <w:sz w:val="20"/>
          <w:szCs w:val="20"/>
        </w:rPr>
        <w:t xml:space="preserve">, subject that </w:t>
      </w:r>
      <w:r w:rsidR="00F761C6">
        <w:rPr>
          <w:sz w:val="20"/>
          <w:szCs w:val="20"/>
        </w:rPr>
        <w:t>UL sub-band is in the middle of DL sub-bands</w:t>
      </w:r>
      <w:r>
        <w:rPr>
          <w:sz w:val="20"/>
          <w:szCs w:val="20"/>
        </w:rPr>
        <w:t xml:space="preserve">. On the other hand, NW should be allowed to indicate a potential aggressor </w:t>
      </w:r>
      <w:r w:rsidR="00F761C6" w:rsidRPr="008F533C">
        <w:rPr>
          <w:sz w:val="20"/>
          <w:szCs w:val="20"/>
        </w:rPr>
        <w:t>UE</w:t>
      </w:r>
      <w:r w:rsidR="00F761C6">
        <w:rPr>
          <w:sz w:val="20"/>
          <w:szCs w:val="20"/>
          <w:vertAlign w:val="subscript"/>
        </w:rPr>
        <w:t>A</w:t>
      </w:r>
      <w:r w:rsidR="00F761C6" w:rsidRPr="008F533C">
        <w:rPr>
          <w:sz w:val="20"/>
          <w:szCs w:val="20"/>
        </w:rPr>
        <w:t xml:space="preserve"> </w:t>
      </w:r>
      <w:r w:rsidR="00F761C6">
        <w:rPr>
          <w:sz w:val="20"/>
          <w:szCs w:val="20"/>
        </w:rPr>
        <w:t xml:space="preserve">(i.e., a UE in UL) </w:t>
      </w:r>
      <w:r>
        <w:rPr>
          <w:sz w:val="20"/>
          <w:szCs w:val="20"/>
        </w:rPr>
        <w:t>to measure CLI</w:t>
      </w:r>
      <w:r w:rsidR="00F761C6">
        <w:rPr>
          <w:sz w:val="20"/>
          <w:szCs w:val="20"/>
        </w:rPr>
        <w:t xml:space="preserve"> (and possibly refrain from UL transmission if measured CLI is more than an indicated threshold)</w:t>
      </w:r>
      <w:r>
        <w:rPr>
          <w:sz w:val="20"/>
          <w:szCs w:val="20"/>
        </w:rPr>
        <w:t>. Given that UL sub-band for</w:t>
      </w:r>
      <w:r w:rsidR="00F761C6">
        <w:rPr>
          <w:sz w:val="20"/>
          <w:szCs w:val="20"/>
        </w:rPr>
        <w:t xml:space="preserve"> an</w:t>
      </w:r>
      <w:r>
        <w:rPr>
          <w:sz w:val="20"/>
          <w:szCs w:val="20"/>
        </w:rPr>
        <w:t xml:space="preserve"> aggressor UE</w:t>
      </w:r>
      <w:r w:rsidR="00F761C6">
        <w:rPr>
          <w:sz w:val="20"/>
          <w:szCs w:val="20"/>
        </w:rPr>
        <w:t xml:space="preserve"> </w:t>
      </w:r>
      <w:r>
        <w:rPr>
          <w:sz w:val="20"/>
          <w:szCs w:val="20"/>
        </w:rPr>
        <w:t xml:space="preserve">shall be within UE’s UL BWP, UE cannot be indicated to measure </w:t>
      </w:r>
      <w:r w:rsidR="00F761C6">
        <w:rPr>
          <w:sz w:val="20"/>
          <w:szCs w:val="20"/>
        </w:rPr>
        <w:t xml:space="preserve">CLI </w:t>
      </w:r>
      <w:r>
        <w:rPr>
          <w:sz w:val="20"/>
          <w:szCs w:val="20"/>
        </w:rPr>
        <w:t xml:space="preserve">over a non-contiguous CSI-RS </w:t>
      </w:r>
      <w:r w:rsidR="00F761C6">
        <w:rPr>
          <w:sz w:val="20"/>
          <w:szCs w:val="20"/>
        </w:rPr>
        <w:t>(or CLI-RSSI) resource that is out of UL sub-band. Based on this discussion, we have the following proposal</w:t>
      </w:r>
    </w:p>
    <w:p w14:paraId="377C929F" w14:textId="77777777" w:rsidR="00F761C6" w:rsidRDefault="00F761C6" w:rsidP="00B5429D">
      <w:pPr>
        <w:jc w:val="both"/>
        <w:rPr>
          <w:sz w:val="20"/>
          <w:szCs w:val="20"/>
        </w:rPr>
      </w:pPr>
    </w:p>
    <w:p w14:paraId="14E99E02" w14:textId="3DFCD16B" w:rsidR="00F61A78" w:rsidRPr="00F61A78" w:rsidRDefault="00F61A78" w:rsidP="00F61A78">
      <w:pPr>
        <w:pStyle w:val="0Maintext"/>
        <w:spacing w:after="120" w:afterAutospacing="0" w:line="240" w:lineRule="auto"/>
        <w:ind w:firstLine="0"/>
      </w:pPr>
      <w:r w:rsidRPr="00F61A78">
        <w:rPr>
          <w:b/>
          <w:bCs/>
          <w:lang w:val="en-US" w:eastAsia="zh-CN"/>
        </w:rPr>
        <w:t xml:space="preserve">Proposal </w:t>
      </w:r>
      <w:r w:rsidR="00222C64">
        <w:rPr>
          <w:b/>
          <w:bCs/>
          <w:lang w:val="en-US" w:eastAsia="zh-CN"/>
        </w:rPr>
        <w:t>5</w:t>
      </w:r>
      <w:r w:rsidRPr="00F61A78">
        <w:rPr>
          <w:lang w:val="en-US" w:eastAsia="zh-CN"/>
        </w:rPr>
        <w:t xml:space="preserve">: </w:t>
      </w:r>
      <w:r w:rsidRPr="00F61A78">
        <w:t>The CSI-RS (or CLI-RSSI) measurement resource can be configured on separate DL sub-bands or even within UL sub-bands if victim UE (DL UE) is indicated to measure CLI (not UL UE).</w:t>
      </w:r>
    </w:p>
    <w:p w14:paraId="615F79FB" w14:textId="7CFFA1CE" w:rsidR="00F61A78" w:rsidRPr="00F61A78" w:rsidRDefault="00F61A78" w:rsidP="00F61A78">
      <w:pPr>
        <w:pStyle w:val="0Maintext"/>
        <w:spacing w:after="120" w:afterAutospacing="0" w:line="240" w:lineRule="auto"/>
        <w:ind w:firstLine="0"/>
      </w:pPr>
      <w:r w:rsidRPr="00F61A78">
        <w:rPr>
          <w:b/>
          <w:bCs/>
          <w:lang w:val="en-US" w:eastAsia="zh-CN"/>
        </w:rPr>
        <w:t xml:space="preserve">Proposal </w:t>
      </w:r>
      <w:r w:rsidR="00222C64">
        <w:rPr>
          <w:b/>
          <w:bCs/>
          <w:lang w:val="en-US" w:eastAsia="zh-CN"/>
        </w:rPr>
        <w:t>6</w:t>
      </w:r>
      <w:r w:rsidRPr="00F61A78">
        <w:rPr>
          <w:lang w:val="en-US" w:eastAsia="zh-CN"/>
        </w:rPr>
        <w:t>: Aggressor UE does not expect to measure CLI over a resource that is not within UL sub-band</w:t>
      </w:r>
      <w:r w:rsidRPr="00F61A78">
        <w:t>.</w:t>
      </w:r>
    </w:p>
    <w:p w14:paraId="25543BF6" w14:textId="1572DDCD" w:rsidR="00F943AF" w:rsidRDefault="00F943AF" w:rsidP="00B5429D">
      <w:pPr>
        <w:jc w:val="both"/>
        <w:rPr>
          <w:sz w:val="20"/>
          <w:szCs w:val="20"/>
        </w:rPr>
      </w:pPr>
      <w:r>
        <w:rPr>
          <w:sz w:val="20"/>
          <w:szCs w:val="20"/>
        </w:rPr>
        <w:t xml:space="preserve"> </w:t>
      </w:r>
    </w:p>
    <w:p w14:paraId="6240117A" w14:textId="6FB619A7" w:rsidR="0060618C" w:rsidRDefault="00F943AF" w:rsidP="00B5429D">
      <w:pPr>
        <w:jc w:val="both"/>
        <w:rPr>
          <w:sz w:val="20"/>
          <w:szCs w:val="20"/>
        </w:rPr>
      </w:pPr>
      <w:r>
        <w:rPr>
          <w:sz w:val="20"/>
          <w:szCs w:val="20"/>
        </w:rPr>
        <w:t xml:space="preserve">It is also important that </w:t>
      </w:r>
      <w:r w:rsidR="00413D41">
        <w:rPr>
          <w:sz w:val="20"/>
          <w:szCs w:val="20"/>
        </w:rPr>
        <w:t>the procedure to identify the victim and aggressor UEs</w:t>
      </w:r>
      <w:r>
        <w:rPr>
          <w:sz w:val="20"/>
          <w:szCs w:val="20"/>
        </w:rPr>
        <w:t xml:space="preserve"> </w:t>
      </w:r>
      <w:r w:rsidR="00413D41">
        <w:rPr>
          <w:sz w:val="20"/>
          <w:szCs w:val="20"/>
        </w:rPr>
        <w:t>also works for</w:t>
      </w:r>
      <w:r>
        <w:rPr>
          <w:sz w:val="20"/>
          <w:szCs w:val="20"/>
        </w:rPr>
        <w:t xml:space="preserve"> legacy victim UEs, for which no additional enhancement is envisioned. </w:t>
      </w:r>
      <w:r w:rsidR="00DB652D">
        <w:rPr>
          <w:sz w:val="20"/>
          <w:szCs w:val="20"/>
        </w:rPr>
        <w:t xml:space="preserve">To achieve this goal, network can repurpose some of the existing signaling. For example, potential victim UE can be indicated to transmit SRS (e.g., before PDSCH </w:t>
      </w:r>
      <w:r w:rsidR="00DB652D">
        <w:rPr>
          <w:sz w:val="20"/>
          <w:szCs w:val="20"/>
        </w:rPr>
        <w:lastRenderedPageBreak/>
        <w:t>reception), where SRS indication in DL DCI is already specified</w:t>
      </w:r>
      <w:r w:rsidR="00F60A71">
        <w:rPr>
          <w:sz w:val="20"/>
          <w:szCs w:val="20"/>
        </w:rPr>
        <w:t xml:space="preserve">, so the purpose of this SRS transmission is transparent to the potential </w:t>
      </w:r>
      <w:r w:rsidR="00F60A71" w:rsidRPr="008F533C">
        <w:rPr>
          <w:sz w:val="20"/>
          <w:szCs w:val="20"/>
        </w:rPr>
        <w:t>UE</w:t>
      </w:r>
      <w:r w:rsidR="00F60A71" w:rsidRPr="008F533C">
        <w:rPr>
          <w:sz w:val="20"/>
          <w:szCs w:val="20"/>
          <w:vertAlign w:val="subscript"/>
        </w:rPr>
        <w:t>V</w:t>
      </w:r>
      <w:r w:rsidR="00DB652D">
        <w:rPr>
          <w:sz w:val="20"/>
          <w:szCs w:val="20"/>
        </w:rPr>
        <w:t xml:space="preserve">. </w:t>
      </w:r>
      <w:r w:rsidR="00F60A71">
        <w:rPr>
          <w:sz w:val="20"/>
          <w:szCs w:val="20"/>
        </w:rPr>
        <w:t>In addition, SRS measurement (</w:t>
      </w:r>
      <w:r w:rsidR="00B12A9A">
        <w:rPr>
          <w:sz w:val="20"/>
          <w:szCs w:val="20"/>
        </w:rPr>
        <w:t>e.g.,</w:t>
      </w:r>
      <w:r w:rsidR="00F60A71">
        <w:rPr>
          <w:sz w:val="20"/>
          <w:szCs w:val="20"/>
        </w:rPr>
        <w:t xml:space="preserve"> SRS_RSRP) is already specified in Rel-16 for a victim UE, a similar mechanism can be considered for this study, although here it will be the aggressor UE which is asked to measure SRS_RSRP over SRS transmitted by victim UE, and possibly refrain from uplink transmission if that SRS-RSRP is more than a configured threshold.</w:t>
      </w:r>
      <w:r w:rsidR="00DB652D">
        <w:rPr>
          <w:sz w:val="20"/>
          <w:szCs w:val="20"/>
        </w:rPr>
        <w:t xml:space="preserve">  </w:t>
      </w:r>
      <w:r w:rsidR="0060618C">
        <w:rPr>
          <w:sz w:val="20"/>
          <w:szCs w:val="20"/>
        </w:rPr>
        <w:t xml:space="preserve">Figure </w:t>
      </w:r>
      <w:r w:rsidR="00460CD0">
        <w:rPr>
          <w:sz w:val="20"/>
          <w:szCs w:val="20"/>
        </w:rPr>
        <w:t>2</w:t>
      </w:r>
      <w:r w:rsidR="0060618C">
        <w:rPr>
          <w:sz w:val="20"/>
          <w:szCs w:val="20"/>
        </w:rPr>
        <w:t xml:space="preserve"> gives an example of the procedure. </w:t>
      </w:r>
    </w:p>
    <w:p w14:paraId="1B147912" w14:textId="4038EA59" w:rsidR="00A87388" w:rsidRDefault="00A87388" w:rsidP="00B5429D">
      <w:pPr>
        <w:jc w:val="both"/>
        <w:rPr>
          <w:sz w:val="20"/>
          <w:szCs w:val="20"/>
        </w:rPr>
      </w:pPr>
    </w:p>
    <w:p w14:paraId="62831F83" w14:textId="5B5DA546" w:rsidR="00A87388" w:rsidRDefault="00A87388" w:rsidP="00A87388">
      <w:pPr>
        <w:jc w:val="center"/>
        <w:rPr>
          <w:sz w:val="20"/>
          <w:szCs w:val="20"/>
        </w:rPr>
      </w:pPr>
      <w:r w:rsidRPr="00A87388">
        <w:rPr>
          <w:noProof/>
          <w:sz w:val="20"/>
          <w:szCs w:val="20"/>
        </w:rPr>
        <w:drawing>
          <wp:inline distT="0" distB="0" distL="0" distR="0" wp14:anchorId="7B0D962A" wp14:editId="6B78F346">
            <wp:extent cx="2791079" cy="1335819"/>
            <wp:effectExtent l="0" t="0" r="3175" b="0"/>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pic:cNvPicPr/>
                  </pic:nvPicPr>
                  <pic:blipFill>
                    <a:blip r:embed="rId6"/>
                    <a:stretch>
                      <a:fillRect/>
                    </a:stretch>
                  </pic:blipFill>
                  <pic:spPr>
                    <a:xfrm>
                      <a:off x="0" y="0"/>
                      <a:ext cx="2817514" cy="1348471"/>
                    </a:xfrm>
                    <a:prstGeom prst="rect">
                      <a:avLst/>
                    </a:prstGeom>
                  </pic:spPr>
                </pic:pic>
              </a:graphicData>
            </a:graphic>
          </wp:inline>
        </w:drawing>
      </w:r>
    </w:p>
    <w:p w14:paraId="6593BC90" w14:textId="69797561" w:rsidR="00A87388" w:rsidRDefault="00A87388" w:rsidP="00A87388">
      <w:pPr>
        <w:pStyle w:val="TH"/>
        <w:rPr>
          <w:lang w:val="en-US"/>
        </w:rPr>
      </w:pPr>
      <w:r>
        <w:rPr>
          <w:rFonts w:eastAsia="SimSun"/>
          <w:kern w:val="24"/>
          <w:lang w:val="en-GB" w:eastAsia="ja-JP"/>
        </w:rPr>
        <w:t xml:space="preserve">Figure </w:t>
      </w:r>
      <w:r w:rsidR="00460CD0">
        <w:rPr>
          <w:rFonts w:eastAsia="SimSun"/>
          <w:kern w:val="24"/>
          <w:lang w:val="en-GB" w:eastAsia="ja-JP"/>
        </w:rPr>
        <w:t>2</w:t>
      </w:r>
      <w:r>
        <w:rPr>
          <w:lang w:val="en-US"/>
        </w:rPr>
        <w:t>: SRS transmission and measurement to identify UE</w:t>
      </w:r>
      <w:r>
        <w:rPr>
          <w:vertAlign w:val="subscript"/>
          <w:lang w:val="en-US"/>
        </w:rPr>
        <w:t>V</w:t>
      </w:r>
      <w:r>
        <w:rPr>
          <w:lang w:val="en-US"/>
        </w:rPr>
        <w:t xml:space="preserve"> and UE</w:t>
      </w:r>
      <w:r>
        <w:rPr>
          <w:vertAlign w:val="subscript"/>
          <w:lang w:val="en-US"/>
        </w:rPr>
        <w:t>A</w:t>
      </w:r>
      <w:r>
        <w:rPr>
          <w:lang w:val="en-US"/>
        </w:rPr>
        <w:t xml:space="preserve">. </w:t>
      </w:r>
    </w:p>
    <w:p w14:paraId="329A53F5" w14:textId="77777777" w:rsidR="00A87388" w:rsidRDefault="00A87388" w:rsidP="00A87388">
      <w:pPr>
        <w:jc w:val="center"/>
        <w:rPr>
          <w:sz w:val="20"/>
          <w:szCs w:val="20"/>
        </w:rPr>
      </w:pPr>
    </w:p>
    <w:p w14:paraId="4B238E38" w14:textId="77777777" w:rsidR="00A87388" w:rsidRDefault="00A87388" w:rsidP="00B5429D">
      <w:pPr>
        <w:jc w:val="both"/>
        <w:rPr>
          <w:sz w:val="20"/>
          <w:szCs w:val="20"/>
        </w:rPr>
      </w:pPr>
    </w:p>
    <w:p w14:paraId="40953BEB" w14:textId="5F51407B" w:rsidR="00B5429D" w:rsidRPr="00B5429D" w:rsidRDefault="0060618C" w:rsidP="00B5429D">
      <w:pPr>
        <w:jc w:val="both"/>
        <w:rPr>
          <w:sz w:val="20"/>
          <w:szCs w:val="20"/>
        </w:rPr>
      </w:pPr>
      <w:r>
        <w:rPr>
          <w:sz w:val="20"/>
          <w:szCs w:val="20"/>
        </w:rPr>
        <w:t>Based on what we discussed, the following is proposed.</w:t>
      </w:r>
    </w:p>
    <w:p w14:paraId="246E0631" w14:textId="5730973F" w:rsidR="006D4F66" w:rsidRPr="006D4F66" w:rsidRDefault="00A2619E" w:rsidP="005E5E14">
      <w:pPr>
        <w:jc w:val="both"/>
        <w:rPr>
          <w:sz w:val="20"/>
          <w:szCs w:val="20"/>
        </w:rPr>
      </w:pPr>
      <w:r>
        <w:rPr>
          <w:sz w:val="20"/>
          <w:szCs w:val="20"/>
          <w:lang w:val="en-GB"/>
        </w:rPr>
        <w:t xml:space="preserve"> </w:t>
      </w:r>
      <w:r w:rsidR="006D4F66" w:rsidRPr="006D4F66">
        <w:rPr>
          <w:sz w:val="20"/>
          <w:szCs w:val="20"/>
          <w:lang w:val="en-GB"/>
        </w:rPr>
        <w:t xml:space="preserve"> </w:t>
      </w:r>
    </w:p>
    <w:p w14:paraId="0DDBE5B0" w14:textId="7B4BB622" w:rsidR="00D509DE" w:rsidRPr="00F61A78" w:rsidRDefault="00D509DE" w:rsidP="00D509DE">
      <w:pPr>
        <w:pStyle w:val="0Maintext"/>
        <w:spacing w:after="120" w:afterAutospacing="0" w:line="240" w:lineRule="auto"/>
        <w:ind w:firstLine="0"/>
      </w:pPr>
      <w:r w:rsidRPr="00F61A78">
        <w:rPr>
          <w:b/>
          <w:bCs/>
          <w:lang w:val="en-US" w:eastAsia="zh-CN"/>
        </w:rPr>
        <w:t xml:space="preserve">Proposal </w:t>
      </w:r>
      <w:r w:rsidR="00222C64">
        <w:rPr>
          <w:b/>
          <w:bCs/>
          <w:lang w:val="en-US" w:eastAsia="zh-CN"/>
        </w:rPr>
        <w:t>7</w:t>
      </w:r>
      <w:r w:rsidRPr="00F61A78">
        <w:rPr>
          <w:lang w:val="en-US" w:eastAsia="zh-CN"/>
        </w:rPr>
        <w:t xml:space="preserve">: </w:t>
      </w:r>
      <w:r w:rsidRPr="00F61A78">
        <w:t>Potential aggressor UE, UE</w:t>
      </w:r>
      <w:r w:rsidRPr="00F61A78">
        <w:rPr>
          <w:vertAlign w:val="subscript"/>
        </w:rPr>
        <w:t>A</w:t>
      </w:r>
      <w:r w:rsidRPr="00F61A78">
        <w:t>, is indicated to measure SRS (transmitted by potential victim UE) before PUSCH transmission. The indication can be through DCI scheduling the PUSCH for aggressor UE.</w:t>
      </w:r>
    </w:p>
    <w:p w14:paraId="480750B4" w14:textId="77777777" w:rsidR="00D509DE" w:rsidRPr="00F61A78" w:rsidRDefault="00D509DE" w:rsidP="00D509DE">
      <w:pPr>
        <w:pStyle w:val="0Maintext"/>
        <w:numPr>
          <w:ilvl w:val="0"/>
          <w:numId w:val="25"/>
        </w:numPr>
        <w:spacing w:after="120" w:afterAutospacing="0" w:line="240" w:lineRule="auto"/>
      </w:pPr>
      <w:r w:rsidRPr="00F61A78">
        <w:t>One (or more) aperiodic SRS resource sets are tagged with a RRC parameter indicating CTS purpose</w:t>
      </w:r>
    </w:p>
    <w:p w14:paraId="5BAFD2F8" w14:textId="77777777" w:rsidR="00D509DE" w:rsidRPr="00F61A78" w:rsidRDefault="00D509DE" w:rsidP="00D509DE">
      <w:pPr>
        <w:pStyle w:val="0Maintext"/>
        <w:numPr>
          <w:ilvl w:val="0"/>
          <w:numId w:val="25"/>
        </w:numPr>
        <w:spacing w:after="120" w:afterAutospacing="0" w:line="240" w:lineRule="auto"/>
      </w:pPr>
      <w:r w:rsidRPr="00F61A78">
        <w:t>Once SRS request bit-field activates such SRS resource set, (potential) UE</w:t>
      </w:r>
      <w:r w:rsidRPr="00F61A78">
        <w:rPr>
          <w:vertAlign w:val="subscript"/>
        </w:rPr>
        <w:t>A</w:t>
      </w:r>
      <w:r w:rsidRPr="00F61A78">
        <w:t xml:space="preserve"> performs SRS-RSRP and/or CLI-RSSI over the activated SRS resource(s) </w:t>
      </w:r>
    </w:p>
    <w:p w14:paraId="7E19235D" w14:textId="77777777" w:rsidR="003F2E4A" w:rsidRPr="0060618C" w:rsidRDefault="003F2E4A" w:rsidP="003F2E4A">
      <w:pPr>
        <w:pStyle w:val="0Maintext"/>
        <w:spacing w:after="120" w:afterAutospacing="0" w:line="240" w:lineRule="auto"/>
        <w:ind w:left="720" w:firstLine="0"/>
        <w:rPr>
          <w:b/>
          <w:bCs/>
          <w:i/>
          <w:iCs/>
        </w:rPr>
      </w:pPr>
    </w:p>
    <w:p w14:paraId="3DAB23BE" w14:textId="1F5A0DA1" w:rsidR="003F2E4A" w:rsidRPr="00B750B7" w:rsidRDefault="00BA34FC" w:rsidP="003F2E4A">
      <w:pPr>
        <w:pStyle w:val="Heading2"/>
      </w:pPr>
      <w:r>
        <w:t>Indication of</w:t>
      </w:r>
      <w:r w:rsidR="00AB03E8">
        <w:t xml:space="preserve"> cell duplex (or dynamic TDD) operation</w:t>
      </w:r>
      <w:r>
        <w:t xml:space="preserve"> mode </w:t>
      </w:r>
    </w:p>
    <w:p w14:paraId="598D58EB" w14:textId="02804B15" w:rsidR="00590E40" w:rsidRPr="00BE4C1E" w:rsidRDefault="00AB03E8" w:rsidP="00590E40">
      <w:pPr>
        <w:jc w:val="both"/>
        <w:rPr>
          <w:sz w:val="20"/>
          <w:szCs w:val="20"/>
        </w:rPr>
      </w:pPr>
      <w:r>
        <w:rPr>
          <w:sz w:val="20"/>
          <w:szCs w:val="20"/>
          <w:lang w:val="en-GB"/>
        </w:rPr>
        <w:t xml:space="preserve">As mentioned before, if gNB is able to perform full-duplex (or dynamic TDD) operation, this </w:t>
      </w:r>
      <w:r w:rsidR="00821959">
        <w:rPr>
          <w:sz w:val="20"/>
          <w:szCs w:val="20"/>
          <w:lang w:val="en-GB"/>
        </w:rPr>
        <w:t xml:space="preserve">operation </w:t>
      </w:r>
      <w:r>
        <w:rPr>
          <w:sz w:val="20"/>
          <w:szCs w:val="20"/>
          <w:lang w:val="en-GB"/>
        </w:rPr>
        <w:t>has to be transparent to</w:t>
      </w:r>
      <w:r w:rsidR="00821959">
        <w:rPr>
          <w:sz w:val="20"/>
          <w:szCs w:val="20"/>
          <w:lang w:val="en-GB"/>
        </w:rPr>
        <w:t xml:space="preserve"> </w:t>
      </w:r>
      <w:r>
        <w:rPr>
          <w:sz w:val="20"/>
          <w:szCs w:val="20"/>
          <w:lang w:val="en-GB"/>
        </w:rPr>
        <w:t xml:space="preserve">legacy UEs. On the other hand, for a future </w:t>
      </w:r>
      <w:r w:rsidR="00B075D1">
        <w:rPr>
          <w:sz w:val="20"/>
          <w:szCs w:val="20"/>
          <w:lang w:val="en-GB"/>
        </w:rPr>
        <w:t>SBFD-awa</w:t>
      </w:r>
      <w:r w:rsidR="00F31EEB">
        <w:rPr>
          <w:sz w:val="20"/>
          <w:szCs w:val="20"/>
          <w:lang w:val="en-GB"/>
        </w:rPr>
        <w:t xml:space="preserve">re </w:t>
      </w:r>
      <w:r>
        <w:rPr>
          <w:sz w:val="20"/>
          <w:szCs w:val="20"/>
          <w:lang w:val="en-GB"/>
        </w:rPr>
        <w:t xml:space="preserve">UE, it may be useful to know if a cell </w:t>
      </w:r>
      <w:r w:rsidR="00BE4C1E">
        <w:rPr>
          <w:sz w:val="20"/>
          <w:szCs w:val="20"/>
          <w:lang w:val="en-GB"/>
        </w:rPr>
        <w:t xml:space="preserve">that </w:t>
      </w:r>
      <w:r>
        <w:rPr>
          <w:sz w:val="20"/>
          <w:szCs w:val="20"/>
          <w:lang w:val="en-GB"/>
        </w:rPr>
        <w:t xml:space="preserve">it is camping </w:t>
      </w:r>
      <w:r w:rsidR="00821959">
        <w:rPr>
          <w:sz w:val="20"/>
          <w:szCs w:val="20"/>
          <w:lang w:val="en-GB"/>
        </w:rPr>
        <w:t>on</w:t>
      </w:r>
      <w:r>
        <w:rPr>
          <w:sz w:val="20"/>
          <w:szCs w:val="20"/>
          <w:lang w:val="en-GB"/>
        </w:rPr>
        <w:t xml:space="preserve"> will support duplex operation</w:t>
      </w:r>
      <w:r w:rsidR="00821959">
        <w:rPr>
          <w:sz w:val="20"/>
          <w:szCs w:val="20"/>
          <w:lang w:val="en-GB"/>
        </w:rPr>
        <w:t xml:space="preserve"> or not</w:t>
      </w:r>
      <w:r>
        <w:rPr>
          <w:sz w:val="20"/>
          <w:szCs w:val="20"/>
          <w:lang w:val="en-GB"/>
        </w:rPr>
        <w:t>. For example, if UE may require enhanced uplink coverage (potential UE</w:t>
      </w:r>
      <w:r>
        <w:rPr>
          <w:sz w:val="20"/>
          <w:szCs w:val="20"/>
          <w:vertAlign w:val="subscript"/>
          <w:lang w:val="en-GB"/>
        </w:rPr>
        <w:t>A</w:t>
      </w:r>
      <w:r>
        <w:rPr>
          <w:sz w:val="20"/>
          <w:szCs w:val="20"/>
          <w:lang w:val="en-GB"/>
        </w:rPr>
        <w:t>)</w:t>
      </w:r>
      <w:r w:rsidR="00821959">
        <w:rPr>
          <w:sz w:val="20"/>
          <w:szCs w:val="20"/>
          <w:lang w:val="en-GB"/>
        </w:rPr>
        <w:t>,</w:t>
      </w:r>
      <w:r>
        <w:rPr>
          <w:sz w:val="20"/>
          <w:szCs w:val="20"/>
          <w:lang w:val="en-GB"/>
        </w:rPr>
        <w:t xml:space="preserve"> it </w:t>
      </w:r>
      <w:r w:rsidR="00821959">
        <w:rPr>
          <w:sz w:val="20"/>
          <w:szCs w:val="20"/>
          <w:lang w:val="en-GB"/>
        </w:rPr>
        <w:t xml:space="preserve">may </w:t>
      </w:r>
      <w:r w:rsidR="00BA34FC">
        <w:rPr>
          <w:sz w:val="20"/>
          <w:szCs w:val="20"/>
          <w:lang w:val="en-GB"/>
        </w:rPr>
        <w:t>benefit</w:t>
      </w:r>
      <w:r w:rsidR="00821959">
        <w:rPr>
          <w:sz w:val="20"/>
          <w:szCs w:val="20"/>
          <w:lang w:val="en-GB"/>
        </w:rPr>
        <w:t xml:space="preserve"> </w:t>
      </w:r>
      <w:r>
        <w:rPr>
          <w:sz w:val="20"/>
          <w:szCs w:val="20"/>
          <w:lang w:val="en-GB"/>
        </w:rPr>
        <w:t xml:space="preserve">to camp on </w:t>
      </w:r>
      <w:r w:rsidR="00821959">
        <w:rPr>
          <w:sz w:val="20"/>
          <w:szCs w:val="20"/>
          <w:lang w:val="en-GB"/>
        </w:rPr>
        <w:t>a cell with full-duplex operation</w:t>
      </w:r>
      <w:r>
        <w:rPr>
          <w:sz w:val="20"/>
          <w:szCs w:val="20"/>
          <w:lang w:val="en-GB"/>
        </w:rPr>
        <w:t>. On the other hand</w:t>
      </w:r>
      <w:r w:rsidR="00821959">
        <w:rPr>
          <w:sz w:val="20"/>
          <w:szCs w:val="20"/>
          <w:lang w:val="en-GB"/>
        </w:rPr>
        <w:t>,</w:t>
      </w:r>
      <w:r>
        <w:rPr>
          <w:sz w:val="20"/>
          <w:szCs w:val="20"/>
          <w:lang w:val="en-GB"/>
        </w:rPr>
        <w:t xml:space="preserve"> if UE is potentially a victim UE, it may prefer to camp to a cell with legacy TDD operation, so UE is </w:t>
      </w:r>
      <w:r w:rsidR="00352D9C">
        <w:rPr>
          <w:sz w:val="20"/>
          <w:szCs w:val="20"/>
          <w:lang w:val="en-GB"/>
        </w:rPr>
        <w:t>more</w:t>
      </w:r>
      <w:r>
        <w:rPr>
          <w:sz w:val="20"/>
          <w:szCs w:val="20"/>
          <w:lang w:val="en-GB"/>
        </w:rPr>
        <w:t xml:space="preserve"> protected by UE-to-UE CLI. </w:t>
      </w:r>
      <w:r w:rsidR="00590E40">
        <w:rPr>
          <w:sz w:val="20"/>
          <w:szCs w:val="20"/>
          <w:lang w:val="en-GB"/>
        </w:rPr>
        <w:t>Therefore,</w:t>
      </w:r>
      <w:r w:rsidR="002302B1">
        <w:rPr>
          <w:sz w:val="20"/>
          <w:szCs w:val="20"/>
          <w:lang w:val="en-GB"/>
        </w:rPr>
        <w:t xml:space="preserve"> </w:t>
      </w:r>
      <w:r w:rsidR="00590E40">
        <w:rPr>
          <w:sz w:val="20"/>
          <w:szCs w:val="20"/>
          <w:lang w:val="en-GB"/>
        </w:rPr>
        <w:t xml:space="preserve">it may be desired by a future release UE a </w:t>
      </w:r>
      <w:r w:rsidR="002302B1" w:rsidRPr="002302B1">
        <w:rPr>
          <w:sz w:val="20"/>
          <w:szCs w:val="20"/>
        </w:rPr>
        <w:t xml:space="preserve">signaling and procedure to indicate UE(s) about </w:t>
      </w:r>
      <w:r w:rsidR="002302B1">
        <w:rPr>
          <w:sz w:val="20"/>
          <w:szCs w:val="20"/>
        </w:rPr>
        <w:t xml:space="preserve">duplex </w:t>
      </w:r>
      <w:r w:rsidR="002302B1" w:rsidRPr="002302B1">
        <w:rPr>
          <w:sz w:val="20"/>
          <w:szCs w:val="20"/>
        </w:rPr>
        <w:t xml:space="preserve">operation at a </w:t>
      </w:r>
      <w:r w:rsidR="002302B1" w:rsidRPr="00BE4C1E">
        <w:rPr>
          <w:sz w:val="20"/>
          <w:szCs w:val="20"/>
        </w:rPr>
        <w:t>cell before</w:t>
      </w:r>
      <w:r w:rsidR="00BA34FC" w:rsidRPr="00BE4C1E">
        <w:rPr>
          <w:sz w:val="20"/>
          <w:szCs w:val="20"/>
        </w:rPr>
        <w:t>/during</w:t>
      </w:r>
      <w:r w:rsidR="002302B1" w:rsidRPr="00BE4C1E">
        <w:rPr>
          <w:sz w:val="20"/>
          <w:szCs w:val="20"/>
        </w:rPr>
        <w:t xml:space="preserve"> cell acquisition</w:t>
      </w:r>
      <w:r w:rsidR="00590E40" w:rsidRPr="00BE4C1E">
        <w:rPr>
          <w:sz w:val="20"/>
          <w:szCs w:val="20"/>
        </w:rPr>
        <w:t>.</w:t>
      </w:r>
      <w:r w:rsidR="002302B1" w:rsidRPr="00BE4C1E">
        <w:rPr>
          <w:sz w:val="20"/>
          <w:szCs w:val="20"/>
        </w:rPr>
        <w:t xml:space="preserve">  </w:t>
      </w:r>
      <w:r w:rsidR="00590E40" w:rsidRPr="00BE4C1E">
        <w:rPr>
          <w:sz w:val="20"/>
          <w:szCs w:val="20"/>
        </w:rPr>
        <w:t>Of course,</w:t>
      </w:r>
      <w:r w:rsidR="002302B1" w:rsidRPr="00BE4C1E">
        <w:rPr>
          <w:sz w:val="20"/>
          <w:szCs w:val="20"/>
        </w:rPr>
        <w:t xml:space="preserve"> it will be up to UE whether to camp to this cell or perform cell re-selection</w:t>
      </w:r>
      <w:r w:rsidR="00590E40" w:rsidRPr="00BE4C1E">
        <w:rPr>
          <w:sz w:val="20"/>
          <w:szCs w:val="20"/>
        </w:rPr>
        <w:t>. Based on this discussion, we have the following proposal:</w:t>
      </w:r>
    </w:p>
    <w:p w14:paraId="064BBA6F" w14:textId="77777777" w:rsidR="00590E40" w:rsidRPr="00BE4C1E" w:rsidRDefault="00590E40" w:rsidP="00590E40">
      <w:pPr>
        <w:jc w:val="both"/>
        <w:rPr>
          <w:sz w:val="20"/>
          <w:szCs w:val="20"/>
        </w:rPr>
      </w:pPr>
    </w:p>
    <w:p w14:paraId="549F8A89" w14:textId="1EFAACFD" w:rsidR="00021186" w:rsidRDefault="00D509DE" w:rsidP="00021186">
      <w:pPr>
        <w:pStyle w:val="0Maintext"/>
        <w:spacing w:after="120" w:afterAutospacing="0" w:line="240" w:lineRule="auto"/>
        <w:ind w:firstLine="0"/>
      </w:pPr>
      <w:r w:rsidRPr="00F61A78">
        <w:rPr>
          <w:b/>
          <w:bCs/>
          <w:lang w:val="en-US" w:eastAsia="zh-CN"/>
        </w:rPr>
        <w:t xml:space="preserve">Proposal </w:t>
      </w:r>
      <w:r w:rsidR="00222C64">
        <w:rPr>
          <w:b/>
          <w:bCs/>
          <w:lang w:val="en-US" w:eastAsia="zh-CN"/>
        </w:rPr>
        <w:t>8</w:t>
      </w:r>
      <w:r w:rsidRPr="00F61A78">
        <w:rPr>
          <w:lang w:val="en-US" w:eastAsia="zh-CN"/>
        </w:rPr>
        <w:t xml:space="preserve">: Study feasibility of a mechanism to indicate </w:t>
      </w:r>
      <w:r w:rsidRPr="00F61A78">
        <w:t xml:space="preserve">SBFD-aware </w:t>
      </w:r>
      <w:r w:rsidRPr="00F61A78">
        <w:rPr>
          <w:lang w:val="en-US"/>
        </w:rPr>
        <w:t>UE about cell duplex operation mode.</w:t>
      </w:r>
      <w:r w:rsidRPr="00F61A78">
        <w:t xml:space="preserve">  </w:t>
      </w:r>
    </w:p>
    <w:p w14:paraId="7527A9E0" w14:textId="77777777" w:rsidR="00021186" w:rsidRDefault="00021186" w:rsidP="00021186">
      <w:pPr>
        <w:pStyle w:val="0Maintext"/>
        <w:spacing w:after="120" w:afterAutospacing="0" w:line="240" w:lineRule="auto"/>
        <w:ind w:firstLine="0"/>
      </w:pPr>
    </w:p>
    <w:p w14:paraId="1E33E24A" w14:textId="3311205A" w:rsidR="00021186" w:rsidRDefault="00021186" w:rsidP="00021186">
      <w:pPr>
        <w:pStyle w:val="Heading2"/>
      </w:pPr>
      <w:r>
        <w:t>Indication to UE</w:t>
      </w:r>
      <w:r>
        <w:rPr>
          <w:vertAlign w:val="subscript"/>
        </w:rPr>
        <w:t>V</w:t>
      </w:r>
      <w:r>
        <w:t xml:space="preserve"> on resources impacted by CLI</w:t>
      </w:r>
    </w:p>
    <w:p w14:paraId="0C536E54" w14:textId="77777777" w:rsidR="00021186" w:rsidRDefault="004A69A3" w:rsidP="00021186">
      <w:pPr>
        <w:pStyle w:val="0Maintext"/>
        <w:spacing w:after="120" w:afterAutospacing="0" w:line="240" w:lineRule="auto"/>
        <w:ind w:firstLine="0"/>
      </w:pPr>
      <w:r w:rsidRPr="004A69A3">
        <w:t>Although it is expected that scheduler maintains enough separability between victim and aggressor UEs (e.g., in frequency and/or spatial domain), the</w:t>
      </w:r>
      <w:r w:rsidR="008A6FAA">
        <w:t>re could be scenarios where</w:t>
      </w:r>
      <w:r w:rsidRPr="004A69A3">
        <w:t xml:space="preserve"> UE-to-UE CLI is still inevitable. </w:t>
      </w:r>
      <w:r w:rsidR="008A6FAA">
        <w:t>For example, i</w:t>
      </w:r>
      <w:r w:rsidRPr="004A69A3">
        <w:t>magine the case that UL transmission on UE</w:t>
      </w:r>
      <w:r w:rsidRPr="004A69A3">
        <w:rPr>
          <w:vertAlign w:val="subscript"/>
        </w:rPr>
        <w:t>A</w:t>
      </w:r>
      <w:r w:rsidRPr="004A69A3">
        <w:t xml:space="preserve"> carries URLLC and thus cannot be cancelled. In this scenario, gNB should be able to indicate to the victim UE</w:t>
      </w:r>
      <w:r w:rsidR="008A6FAA">
        <w:rPr>
          <w:vertAlign w:val="subscript"/>
        </w:rPr>
        <w:t>V</w:t>
      </w:r>
      <w:r w:rsidRPr="004A69A3">
        <w:t xml:space="preserve">, </w:t>
      </w:r>
      <w:r w:rsidR="008A6FAA">
        <w:t>which</w:t>
      </w:r>
      <w:r w:rsidRPr="004A69A3">
        <w:t xml:space="preserve"> is receiving in DL, about the probable existence of CLI from aggressor UE(s)</w:t>
      </w:r>
      <w:r w:rsidR="008A6FAA">
        <w:t xml:space="preserve"> on resources that overlap in time between </w:t>
      </w:r>
      <w:r w:rsidR="008A6FAA" w:rsidRPr="004A69A3">
        <w:t>UE</w:t>
      </w:r>
      <w:r w:rsidR="008A6FAA">
        <w:rPr>
          <w:vertAlign w:val="subscript"/>
        </w:rPr>
        <w:t>V</w:t>
      </w:r>
      <w:r w:rsidR="008A6FAA">
        <w:t xml:space="preserve"> and </w:t>
      </w:r>
      <w:r w:rsidR="008A6FAA" w:rsidRPr="004A69A3">
        <w:t>UE</w:t>
      </w:r>
      <w:r w:rsidR="008A6FAA">
        <w:rPr>
          <w:vertAlign w:val="subscript"/>
        </w:rPr>
        <w:t>VA</w:t>
      </w:r>
      <w:r w:rsidRPr="004A69A3">
        <w:t xml:space="preserve"> </w:t>
      </w:r>
      <w:r w:rsidR="008A6FAA">
        <w:t xml:space="preserve">‘s allocations. Although this problem is not exactly same as DL preemption indication, which was specified in Rel-15 for URLLC, but there are strong similarities between the </w:t>
      </w:r>
      <w:r w:rsidR="007D27B2">
        <w:t xml:space="preserve">two cases. In both cases, we have a UE in DL which its data reception has been impacted by another UE (a URLLC UE in DL in Rel-15 and a URLLC UE in UL in future releases). Given that no additional signaling to legacy UE is promoted unless its requirements </w:t>
      </w:r>
      <w:r w:rsidR="00115F3F">
        <w:t>are</w:t>
      </w:r>
      <w:r w:rsidR="007D27B2">
        <w:t xml:space="preserve"> highly justified, we propose the </w:t>
      </w:r>
      <w:r w:rsidR="00115F3F">
        <w:t>interrupted transmission indication as specified in Rel-15 to be repurposed to indicate resources impacted by CLI. Of course the reason of preemption indication is transparent to victim UE, i.e. it does not matter to UE</w:t>
      </w:r>
      <w:r w:rsidR="00115F3F">
        <w:rPr>
          <w:vertAlign w:val="subscript"/>
        </w:rPr>
        <w:t>V</w:t>
      </w:r>
      <w:r w:rsidR="00115F3F">
        <w:t xml:space="preserve"> whether there exists a URLLC UE</w:t>
      </w:r>
      <w:r w:rsidR="007D27B2">
        <w:t xml:space="preserve"> </w:t>
      </w:r>
      <w:r w:rsidR="00115F3F">
        <w:t>in UL or DL transmission.</w:t>
      </w:r>
    </w:p>
    <w:p w14:paraId="34F9049A" w14:textId="3AE9B67C" w:rsidR="00021186" w:rsidRPr="00021186" w:rsidRDefault="00021186" w:rsidP="00021186">
      <w:pPr>
        <w:pStyle w:val="0Maintext"/>
        <w:spacing w:after="120" w:afterAutospacing="0" w:line="240" w:lineRule="auto"/>
        <w:ind w:firstLine="0"/>
      </w:pPr>
      <w:r w:rsidRPr="00021186">
        <w:rPr>
          <w:b/>
          <w:bCs/>
          <w:lang w:val="en-US"/>
        </w:rPr>
        <w:lastRenderedPageBreak/>
        <w:t xml:space="preserve">Proposal </w:t>
      </w:r>
      <w:r w:rsidR="00222C64">
        <w:rPr>
          <w:b/>
          <w:bCs/>
          <w:lang w:val="en-US"/>
        </w:rPr>
        <w:t>9</w:t>
      </w:r>
      <w:r w:rsidRPr="00021186">
        <w:rPr>
          <w:lang w:val="en-US"/>
        </w:rPr>
        <w:t xml:space="preserve">: DL CLI indication, e.g., based on DL-PI, indicates which symbols were impacted by cross-link interference from aggressor UE(s). </w:t>
      </w:r>
    </w:p>
    <w:p w14:paraId="319B6700" w14:textId="2C7FF69F" w:rsidR="007A1F9E" w:rsidRDefault="007A1F9E" w:rsidP="007A1F9E">
      <w:pPr>
        <w:pStyle w:val="Heading1"/>
      </w:pPr>
      <w:r>
        <w:t>Conclusion</w:t>
      </w:r>
    </w:p>
    <w:p w14:paraId="493C61C7" w14:textId="64266EC2" w:rsidR="007A1F9E" w:rsidRDefault="007A1F9E" w:rsidP="00361704">
      <w:pPr>
        <w:pStyle w:val="0Maintext"/>
        <w:spacing w:after="120" w:afterAutospacing="0" w:line="240" w:lineRule="auto"/>
        <w:ind w:firstLine="0"/>
        <w:rPr>
          <w:lang w:val="en-US" w:eastAsia="zh-CN"/>
        </w:rPr>
      </w:pPr>
      <w:r>
        <w:rPr>
          <w:lang w:val="en-US" w:eastAsia="zh-CN"/>
        </w:rPr>
        <w:t xml:space="preserve">In this contribution, we </w:t>
      </w:r>
      <w:r w:rsidR="00973A25">
        <w:rPr>
          <w:lang w:val="en-US" w:eastAsia="zh-CN"/>
        </w:rPr>
        <w:t xml:space="preserve">provided </w:t>
      </w:r>
      <w:r w:rsidR="00EB225C">
        <w:rPr>
          <w:lang w:val="en-US" w:eastAsia="zh-CN"/>
        </w:rPr>
        <w:t xml:space="preserve">our views on CLI management </w:t>
      </w:r>
      <w:r w:rsidR="008C6E16">
        <w:rPr>
          <w:lang w:val="en-US" w:eastAsia="zh-CN"/>
        </w:rPr>
        <w:t>for full-duplex operation at gNB</w:t>
      </w:r>
      <w:r w:rsidR="00CA3110">
        <w:rPr>
          <w:lang w:val="en-US" w:eastAsia="zh-CN"/>
        </w:rPr>
        <w:t>. Based on what we discussed, the following proposal</w:t>
      </w:r>
      <w:r w:rsidR="008C6E16">
        <w:rPr>
          <w:lang w:val="en-US" w:eastAsia="zh-CN"/>
        </w:rPr>
        <w:t xml:space="preserve">s </w:t>
      </w:r>
      <w:r w:rsidR="00CA3110">
        <w:rPr>
          <w:lang w:val="en-US" w:eastAsia="zh-CN"/>
        </w:rPr>
        <w:t>are made:</w:t>
      </w:r>
    </w:p>
    <w:p w14:paraId="039B35F5" w14:textId="1E2B0522" w:rsidR="00BD74B0" w:rsidRPr="00BD74B0" w:rsidRDefault="00BD74B0" w:rsidP="00BD74B0">
      <w:pPr>
        <w:pStyle w:val="0Maintext"/>
        <w:spacing w:after="120" w:afterAutospacing="0" w:line="240" w:lineRule="auto"/>
        <w:ind w:firstLine="0"/>
        <w:rPr>
          <w:rFonts w:eastAsia="Malgun Gothic" w:cs="Times"/>
        </w:rPr>
      </w:pPr>
      <w:r w:rsidRPr="00F61A78">
        <w:rPr>
          <w:b/>
          <w:bCs/>
          <w:lang w:val="en-US" w:eastAsia="zh-CN"/>
        </w:rPr>
        <w:t>Proposal 1</w:t>
      </w:r>
      <w:r w:rsidRPr="00F61A78">
        <w:rPr>
          <w:lang w:val="en-US" w:eastAsia="zh-CN"/>
        </w:rPr>
        <w:t xml:space="preserve">: </w:t>
      </w:r>
      <w:r w:rsidRPr="001A3273">
        <w:rPr>
          <w:rFonts w:eastAsia="Malgun Gothic" w:cs="Times"/>
        </w:rPr>
        <w:t>For SBFD operation</w:t>
      </w:r>
      <w:r w:rsidRPr="001A3273">
        <w:rPr>
          <w:rFonts w:cs="Times"/>
        </w:rPr>
        <w:t xml:space="preserve"> </w:t>
      </w:r>
      <w:r w:rsidRPr="001A3273">
        <w:rPr>
          <w:rFonts w:eastAsia="Malgun Gothic" w:cs="Times"/>
        </w:rPr>
        <w:t xml:space="preserve">in a symbol configured as flexible in </w:t>
      </w:r>
      <w:r w:rsidRPr="001A3273">
        <w:rPr>
          <w:rFonts w:cs="Times"/>
          <w:i/>
          <w:iCs/>
        </w:rPr>
        <w:t>TDD-UL-DL-ConfigCommon</w:t>
      </w:r>
      <w:r w:rsidRPr="001A3273">
        <w:rPr>
          <w:rFonts w:eastAsia="Malgun Gothic" w:cs="Times"/>
        </w:rPr>
        <w:t>,</w:t>
      </w:r>
      <w:r>
        <w:rPr>
          <w:rFonts w:eastAsia="Malgun Gothic" w:cs="Times"/>
        </w:rPr>
        <w:t xml:space="preserve"> the baseline will be Option 1.</w:t>
      </w:r>
    </w:p>
    <w:p w14:paraId="68F642A4" w14:textId="1AADF209" w:rsidR="00BD74B0" w:rsidRPr="00BD74B0" w:rsidRDefault="00BD74B0" w:rsidP="00BD74B0">
      <w:pPr>
        <w:pStyle w:val="0Maintext"/>
        <w:spacing w:after="120" w:afterAutospacing="0" w:line="240" w:lineRule="auto"/>
        <w:ind w:firstLine="0"/>
      </w:pPr>
      <w:r w:rsidRPr="00F61A78">
        <w:rPr>
          <w:b/>
          <w:bCs/>
          <w:lang w:val="en-US" w:eastAsia="zh-CN"/>
        </w:rPr>
        <w:t xml:space="preserve">Proposal </w:t>
      </w:r>
      <w:r>
        <w:rPr>
          <w:b/>
          <w:bCs/>
          <w:lang w:val="en-US" w:eastAsia="zh-CN"/>
        </w:rPr>
        <w:t>2</w:t>
      </w:r>
      <w:r w:rsidRPr="00F61A78">
        <w:rPr>
          <w:lang w:val="en-US" w:eastAsia="zh-CN"/>
        </w:rPr>
        <w:t>:</w:t>
      </w:r>
      <w:r w:rsidRPr="007126A2">
        <w:t xml:space="preserve"> UE can be configured with a CSI-RS resource configuration which is common between legacy TDD and SBFD symbol with </w:t>
      </w:r>
      <w:r>
        <w:t xml:space="preserve">possibly </w:t>
      </w:r>
      <w:r w:rsidRPr="007126A2">
        <w:t xml:space="preserve">modifications </w:t>
      </w:r>
      <w:r>
        <w:t>of few parameters (</w:t>
      </w:r>
      <w:r w:rsidRPr="007126A2">
        <w:rPr>
          <w:i/>
          <w:iCs/>
        </w:rPr>
        <w:t>nrofPorts</w:t>
      </w:r>
      <w:r>
        <w:t xml:space="preserve">, </w:t>
      </w:r>
      <w:r w:rsidRPr="007126A2">
        <w:rPr>
          <w:i/>
          <w:iCs/>
        </w:rPr>
        <w:t>startingRB</w:t>
      </w:r>
      <w:r>
        <w:t xml:space="preserve">, etc) </w:t>
      </w:r>
      <w:r w:rsidRPr="007126A2">
        <w:t>for reception of CSI-RS in SBFD symbol</w:t>
      </w:r>
      <w:r>
        <w:t>.</w:t>
      </w:r>
    </w:p>
    <w:p w14:paraId="4A677AC0" w14:textId="77777777" w:rsidR="00BD74B0" w:rsidRPr="00E611A2" w:rsidRDefault="00BD74B0" w:rsidP="00BD74B0">
      <w:pPr>
        <w:pStyle w:val="0Maintext"/>
        <w:spacing w:after="0" w:afterAutospacing="0" w:line="240" w:lineRule="auto"/>
        <w:ind w:firstLine="0"/>
        <w:rPr>
          <w:rFonts w:eastAsia="Malgun Gothic" w:cs="Times"/>
          <w:lang w:val="en-US"/>
        </w:rPr>
      </w:pPr>
      <w:r w:rsidRPr="00BA7415">
        <w:rPr>
          <w:rFonts w:eastAsia="Malgun Gothic" w:cs="Times"/>
          <w:b/>
          <w:bCs/>
        </w:rPr>
        <w:t>Proposal 3</w:t>
      </w:r>
      <w:r w:rsidRPr="00BA7415">
        <w:rPr>
          <w:rFonts w:eastAsia="Malgun Gothic" w:cs="Times"/>
        </w:rPr>
        <w:t>: For PDSCH FDRA type 0 within SBFD symbol</w:t>
      </w:r>
      <w:r>
        <w:rPr>
          <w:rFonts w:eastAsia="Malgun Gothic" w:cs="Times"/>
          <w:b/>
          <w:bCs/>
        </w:rPr>
        <w:t xml:space="preserve">, </w:t>
      </w:r>
      <w:r w:rsidRPr="00BA7415">
        <w:rPr>
          <w:rFonts w:eastAsia="Malgun Gothic" w:cs="Times"/>
        </w:rPr>
        <w:t>the nominal RBG size is based on DL BWP size (same as legacy TDD symbol)</w:t>
      </w:r>
      <w:r>
        <w:rPr>
          <w:rFonts w:eastAsia="Malgun Gothic" w:cs="Times"/>
        </w:rPr>
        <w:t xml:space="preserve">, </w:t>
      </w:r>
      <w:r w:rsidRPr="00BA7415">
        <w:rPr>
          <w:rFonts w:eastAsia="Malgun Gothic" w:cs="Times"/>
        </w:rPr>
        <w:t>UE does not expect to be indicated with RBGs that fully lie in UL sub-band or (guard band)</w:t>
      </w:r>
    </w:p>
    <w:p w14:paraId="7EDCE42C" w14:textId="77777777" w:rsidR="00BD74B0" w:rsidRPr="00BA7415" w:rsidRDefault="00BD74B0" w:rsidP="00BD74B0">
      <w:pPr>
        <w:pStyle w:val="0Maintext"/>
        <w:numPr>
          <w:ilvl w:val="0"/>
          <w:numId w:val="32"/>
        </w:numPr>
        <w:spacing w:after="0" w:afterAutospacing="0" w:line="240" w:lineRule="auto"/>
        <w:rPr>
          <w:rFonts w:eastAsia="Malgun Gothic" w:cs="Times"/>
        </w:rPr>
      </w:pPr>
      <w:r>
        <w:rPr>
          <w:rFonts w:eastAsia="Malgun Gothic" w:cs="Times"/>
        </w:rPr>
        <w:t xml:space="preserve">FFS: </w:t>
      </w:r>
      <w:r w:rsidRPr="00BA7415">
        <w:rPr>
          <w:rFonts w:eastAsia="Malgun Gothic" w:cs="Times"/>
        </w:rPr>
        <w:t>RBGs that partially overlap with guard band or UL sub-band</w:t>
      </w:r>
    </w:p>
    <w:p w14:paraId="34A36763" w14:textId="77777777" w:rsidR="00BD74B0" w:rsidRDefault="00BD74B0" w:rsidP="00BD74B0">
      <w:pPr>
        <w:pStyle w:val="0Maintext"/>
        <w:spacing w:after="0" w:afterAutospacing="0" w:line="240" w:lineRule="auto"/>
        <w:ind w:firstLine="0"/>
        <w:rPr>
          <w:rFonts w:eastAsia="Malgun Gothic" w:cs="Times"/>
        </w:rPr>
      </w:pPr>
    </w:p>
    <w:p w14:paraId="7BC20D63" w14:textId="77777777" w:rsidR="00BD74B0" w:rsidRDefault="00BD74B0" w:rsidP="00BD74B0">
      <w:pPr>
        <w:pStyle w:val="0Maintext"/>
        <w:spacing w:after="0" w:afterAutospacing="0" w:line="240" w:lineRule="auto"/>
        <w:ind w:firstLine="0"/>
        <w:rPr>
          <w:rFonts w:eastAsia="Malgun Gothic" w:cs="Times"/>
          <w:lang w:val="en-US"/>
        </w:rPr>
      </w:pPr>
      <w:r w:rsidRPr="00DB0DF0">
        <w:rPr>
          <w:rFonts w:eastAsia="Malgun Gothic" w:cs="Times"/>
          <w:b/>
          <w:bCs/>
          <w:lang w:val="en-US"/>
        </w:rPr>
        <w:t xml:space="preserve">Proposal </w:t>
      </w:r>
      <w:r>
        <w:rPr>
          <w:rFonts w:eastAsia="Malgun Gothic" w:cs="Times"/>
          <w:b/>
          <w:bCs/>
          <w:lang w:val="en-US"/>
        </w:rPr>
        <w:t>4</w:t>
      </w:r>
      <w:r w:rsidRPr="00DB0DF0">
        <w:rPr>
          <w:rFonts w:eastAsia="Malgun Gothic" w:cs="Times"/>
          <w:lang w:val="en-US"/>
        </w:rPr>
        <w:t>: If within a SBFD symbol a SBFD aware UE is scheduled to simultaneously receive and transmit, respectively on DL and UL sub-bands</w:t>
      </w:r>
      <w:r>
        <w:rPr>
          <w:rFonts w:eastAsia="Malgun Gothic" w:cs="Times"/>
          <w:lang w:val="en-US"/>
        </w:rPr>
        <w:t xml:space="preserve">, </w:t>
      </w:r>
      <w:r w:rsidRPr="00DB0DF0">
        <w:rPr>
          <w:rFonts w:eastAsia="Malgun Gothic" w:cs="Times"/>
          <w:lang w:val="en-US"/>
        </w:rPr>
        <w:t>dynamic grant is prioritized</w:t>
      </w:r>
      <w:r>
        <w:rPr>
          <w:rFonts w:eastAsia="Malgun Gothic" w:cs="Times"/>
          <w:lang w:val="en-US"/>
        </w:rPr>
        <w:t>.</w:t>
      </w:r>
    </w:p>
    <w:p w14:paraId="5E8899A8" w14:textId="77777777" w:rsidR="00BD74B0" w:rsidRDefault="00BD74B0" w:rsidP="00BD74B0">
      <w:pPr>
        <w:pStyle w:val="0Maintext"/>
        <w:spacing w:after="0" w:afterAutospacing="0" w:line="240" w:lineRule="auto"/>
        <w:ind w:left="576" w:firstLine="0"/>
        <w:rPr>
          <w:rFonts w:eastAsia="Malgun Gothic" w:cs="Times"/>
          <w:lang w:val="en-US"/>
        </w:rPr>
      </w:pPr>
      <w:r>
        <w:rPr>
          <w:rFonts w:eastAsia="Malgun Gothic" w:cs="Times"/>
          <w:lang w:val="en-US"/>
        </w:rPr>
        <w:t>I</w:t>
      </w:r>
      <w:r w:rsidRPr="00DB0DF0">
        <w:rPr>
          <w:rFonts w:eastAsia="Malgun Gothic" w:cs="Times"/>
          <w:lang w:val="en-US"/>
        </w:rPr>
        <w:t xml:space="preserve">f </w:t>
      </w:r>
      <w:r>
        <w:rPr>
          <w:rFonts w:eastAsia="Malgun Gothic" w:cs="Times"/>
          <w:lang w:val="en-US"/>
        </w:rPr>
        <w:t>neither</w:t>
      </w:r>
      <w:r w:rsidRPr="00DB0DF0">
        <w:rPr>
          <w:rFonts w:eastAsia="Malgun Gothic" w:cs="Times"/>
          <w:lang w:val="en-US"/>
        </w:rPr>
        <w:t xml:space="preserve"> UL</w:t>
      </w:r>
      <w:r>
        <w:rPr>
          <w:rFonts w:eastAsia="Malgun Gothic" w:cs="Times"/>
          <w:lang w:val="en-US"/>
        </w:rPr>
        <w:t xml:space="preserve"> nor</w:t>
      </w:r>
      <w:r w:rsidRPr="00DB0DF0">
        <w:rPr>
          <w:rFonts w:eastAsia="Malgun Gothic" w:cs="Times"/>
          <w:lang w:val="en-US"/>
        </w:rPr>
        <w:t xml:space="preserve"> DL are dynamic</w:t>
      </w:r>
      <w:r>
        <w:rPr>
          <w:rFonts w:eastAsia="Malgun Gothic" w:cs="Times"/>
          <w:lang w:val="en-US"/>
        </w:rPr>
        <w:t>ally indicated, UL resource is prioritized</w:t>
      </w:r>
    </w:p>
    <w:p w14:paraId="76F4A592" w14:textId="77777777" w:rsidR="00BD74B0" w:rsidRDefault="00BD74B0" w:rsidP="00BD74B0">
      <w:pPr>
        <w:jc w:val="both"/>
        <w:rPr>
          <w:sz w:val="20"/>
          <w:szCs w:val="20"/>
        </w:rPr>
      </w:pPr>
    </w:p>
    <w:p w14:paraId="2280BF10" w14:textId="77777777" w:rsidR="00BD74B0" w:rsidRPr="00F61A78" w:rsidRDefault="00BD74B0" w:rsidP="00BD74B0">
      <w:pPr>
        <w:pStyle w:val="0Maintext"/>
        <w:spacing w:after="120" w:afterAutospacing="0" w:line="240" w:lineRule="auto"/>
        <w:ind w:firstLine="0"/>
      </w:pPr>
      <w:r w:rsidRPr="00F61A78">
        <w:rPr>
          <w:b/>
          <w:bCs/>
          <w:lang w:val="en-US" w:eastAsia="zh-CN"/>
        </w:rPr>
        <w:t xml:space="preserve">Proposal </w:t>
      </w:r>
      <w:r>
        <w:rPr>
          <w:b/>
          <w:bCs/>
          <w:lang w:val="en-US" w:eastAsia="zh-CN"/>
        </w:rPr>
        <w:t>5</w:t>
      </w:r>
      <w:r w:rsidRPr="00F61A78">
        <w:rPr>
          <w:lang w:val="en-US" w:eastAsia="zh-CN"/>
        </w:rPr>
        <w:t xml:space="preserve">: </w:t>
      </w:r>
      <w:r w:rsidRPr="00F61A78">
        <w:t>The CSI-RS (or CLI-RSSI) measurement resource can be configured on separate DL sub-bands or even within UL sub-bands if victim UE (DL UE) is indicated to measure CLI (not UL UE).</w:t>
      </w:r>
    </w:p>
    <w:p w14:paraId="625D2B2B" w14:textId="356FBCE2" w:rsidR="00BD74B0" w:rsidRPr="006D4F66" w:rsidRDefault="00BD74B0" w:rsidP="00BD74B0">
      <w:pPr>
        <w:pStyle w:val="0Maintext"/>
        <w:spacing w:after="120" w:afterAutospacing="0" w:line="240" w:lineRule="auto"/>
        <w:ind w:firstLine="0"/>
      </w:pPr>
      <w:r w:rsidRPr="00F61A78">
        <w:rPr>
          <w:b/>
          <w:bCs/>
          <w:lang w:val="en-US" w:eastAsia="zh-CN"/>
        </w:rPr>
        <w:t xml:space="preserve">Proposal </w:t>
      </w:r>
      <w:r>
        <w:rPr>
          <w:b/>
          <w:bCs/>
          <w:lang w:val="en-US" w:eastAsia="zh-CN"/>
        </w:rPr>
        <w:t>6</w:t>
      </w:r>
      <w:r w:rsidRPr="00F61A78">
        <w:rPr>
          <w:lang w:val="en-US" w:eastAsia="zh-CN"/>
        </w:rPr>
        <w:t>: Aggressor UE does not expect to measure CLI over a resource that is not within UL sub-band</w:t>
      </w:r>
      <w:r w:rsidRPr="00F61A78">
        <w:t>.</w:t>
      </w:r>
      <w:r>
        <w:t xml:space="preserve"> </w:t>
      </w:r>
      <w:r w:rsidRPr="006D4F66">
        <w:t xml:space="preserve"> </w:t>
      </w:r>
    </w:p>
    <w:p w14:paraId="2B4DF819" w14:textId="77777777" w:rsidR="00BD74B0" w:rsidRPr="00F61A78" w:rsidRDefault="00BD74B0" w:rsidP="00BD74B0">
      <w:pPr>
        <w:pStyle w:val="0Maintext"/>
        <w:spacing w:after="120" w:afterAutospacing="0" w:line="240" w:lineRule="auto"/>
        <w:ind w:firstLine="0"/>
      </w:pPr>
      <w:r w:rsidRPr="00F61A78">
        <w:rPr>
          <w:b/>
          <w:bCs/>
          <w:lang w:val="en-US" w:eastAsia="zh-CN"/>
        </w:rPr>
        <w:t xml:space="preserve">Proposal </w:t>
      </w:r>
      <w:r>
        <w:rPr>
          <w:b/>
          <w:bCs/>
          <w:lang w:val="en-US" w:eastAsia="zh-CN"/>
        </w:rPr>
        <w:t>7</w:t>
      </w:r>
      <w:r w:rsidRPr="00F61A78">
        <w:rPr>
          <w:lang w:val="en-US" w:eastAsia="zh-CN"/>
        </w:rPr>
        <w:t xml:space="preserve">: </w:t>
      </w:r>
      <w:r w:rsidRPr="00F61A78">
        <w:t>Potential aggressor UE, UE</w:t>
      </w:r>
      <w:r w:rsidRPr="00F61A78">
        <w:rPr>
          <w:vertAlign w:val="subscript"/>
        </w:rPr>
        <w:t>A</w:t>
      </w:r>
      <w:r w:rsidRPr="00F61A78">
        <w:t>, is indicated to measure SRS (transmitted by potential victim UE) before PUSCH transmission. The indication can be through DCI scheduling the PUSCH for aggressor UE.</w:t>
      </w:r>
    </w:p>
    <w:p w14:paraId="6933AB00" w14:textId="77777777" w:rsidR="00BD74B0" w:rsidRPr="00F61A78" w:rsidRDefault="00BD74B0" w:rsidP="00BD74B0">
      <w:pPr>
        <w:pStyle w:val="0Maintext"/>
        <w:numPr>
          <w:ilvl w:val="0"/>
          <w:numId w:val="25"/>
        </w:numPr>
        <w:spacing w:after="120" w:afterAutospacing="0" w:line="240" w:lineRule="auto"/>
      </w:pPr>
      <w:r w:rsidRPr="00F61A78">
        <w:t>One (or more) aperiodic SRS resource sets are tagged with a RRC parameter indicating CTS purpose</w:t>
      </w:r>
    </w:p>
    <w:p w14:paraId="698A3DA9" w14:textId="61026F2B" w:rsidR="00BD74B0" w:rsidRPr="00BD74B0" w:rsidRDefault="00BD74B0" w:rsidP="00BD74B0">
      <w:pPr>
        <w:pStyle w:val="0Maintext"/>
        <w:numPr>
          <w:ilvl w:val="0"/>
          <w:numId w:val="25"/>
        </w:numPr>
        <w:spacing w:after="120" w:afterAutospacing="0" w:line="240" w:lineRule="auto"/>
      </w:pPr>
      <w:r w:rsidRPr="00F61A78">
        <w:t>Once SRS request bit-field activates such SRS resource set, (potential) UE</w:t>
      </w:r>
      <w:r w:rsidRPr="00F61A78">
        <w:rPr>
          <w:vertAlign w:val="subscript"/>
        </w:rPr>
        <w:t>A</w:t>
      </w:r>
      <w:r w:rsidRPr="00F61A78">
        <w:t xml:space="preserve"> performs SRS-RSRP and/or CLI-RSSI over the activated SRS resource(s) </w:t>
      </w:r>
    </w:p>
    <w:p w14:paraId="776C6391" w14:textId="77777777" w:rsidR="00BD74B0" w:rsidRDefault="00BD74B0" w:rsidP="00BD74B0">
      <w:pPr>
        <w:pStyle w:val="0Maintext"/>
        <w:spacing w:after="120" w:afterAutospacing="0" w:line="240" w:lineRule="auto"/>
        <w:ind w:firstLine="0"/>
      </w:pPr>
      <w:r w:rsidRPr="00F61A78">
        <w:rPr>
          <w:b/>
          <w:bCs/>
          <w:lang w:val="en-US" w:eastAsia="zh-CN"/>
        </w:rPr>
        <w:t xml:space="preserve">Proposal </w:t>
      </w:r>
      <w:r>
        <w:rPr>
          <w:b/>
          <w:bCs/>
          <w:lang w:val="en-US" w:eastAsia="zh-CN"/>
        </w:rPr>
        <w:t>8</w:t>
      </w:r>
      <w:r w:rsidRPr="00F61A78">
        <w:rPr>
          <w:lang w:val="en-US" w:eastAsia="zh-CN"/>
        </w:rPr>
        <w:t xml:space="preserve">: Study feasibility of a mechanism to indicate </w:t>
      </w:r>
      <w:r w:rsidRPr="00F61A78">
        <w:t xml:space="preserve">SBFD-aware </w:t>
      </w:r>
      <w:r w:rsidRPr="00F61A78">
        <w:rPr>
          <w:lang w:val="en-US"/>
        </w:rPr>
        <w:t>UE about cell duplex operation mode.</w:t>
      </w:r>
      <w:r w:rsidRPr="00F61A78">
        <w:t xml:space="preserve">  </w:t>
      </w:r>
    </w:p>
    <w:p w14:paraId="57CE995D" w14:textId="77777777" w:rsidR="00BD74B0" w:rsidRPr="00021186" w:rsidRDefault="00BD74B0" w:rsidP="00BD74B0">
      <w:pPr>
        <w:pStyle w:val="0Maintext"/>
        <w:spacing w:after="120" w:afterAutospacing="0" w:line="240" w:lineRule="auto"/>
        <w:ind w:firstLine="0"/>
      </w:pPr>
      <w:r w:rsidRPr="00021186">
        <w:rPr>
          <w:b/>
          <w:bCs/>
          <w:lang w:val="en-US"/>
        </w:rPr>
        <w:t xml:space="preserve">Proposal </w:t>
      </w:r>
      <w:r>
        <w:rPr>
          <w:b/>
          <w:bCs/>
          <w:lang w:val="en-US"/>
        </w:rPr>
        <w:t>9</w:t>
      </w:r>
      <w:r w:rsidRPr="00021186">
        <w:rPr>
          <w:lang w:val="en-US"/>
        </w:rPr>
        <w:t xml:space="preserve">: DL CLI indication, e.g., based on DL-PI, indicates which symbols were impacted by cross-link interference from aggressor UE(s). </w:t>
      </w:r>
    </w:p>
    <w:p w14:paraId="3173FDD1" w14:textId="77777777" w:rsidR="00BD74B0" w:rsidRDefault="00BD74B0" w:rsidP="00361704">
      <w:pPr>
        <w:pStyle w:val="0Maintext"/>
        <w:spacing w:after="120" w:afterAutospacing="0" w:line="240" w:lineRule="auto"/>
        <w:ind w:firstLine="0"/>
        <w:rPr>
          <w:lang w:val="en-US" w:eastAsia="zh-CN"/>
        </w:rPr>
      </w:pPr>
    </w:p>
    <w:p w14:paraId="7E51A379" w14:textId="0F8791F1" w:rsidR="00620C29" w:rsidRPr="004A7A40" w:rsidRDefault="004A7A40" w:rsidP="004A7A40">
      <w:pPr>
        <w:pStyle w:val="Heading1"/>
      </w:pPr>
      <w:r>
        <w:t>References</w:t>
      </w:r>
    </w:p>
    <w:p w14:paraId="05477947" w14:textId="1E2D3E4E" w:rsidR="00EF1791" w:rsidRPr="008E0B6D" w:rsidRDefault="00EF1791" w:rsidP="00EF1791">
      <w:pPr>
        <w:widowControl w:val="0"/>
        <w:numPr>
          <w:ilvl w:val="0"/>
          <w:numId w:val="14"/>
        </w:numPr>
        <w:jc w:val="both"/>
        <w:rPr>
          <w:sz w:val="20"/>
          <w:szCs w:val="20"/>
        </w:rPr>
      </w:pPr>
      <w:r w:rsidRPr="00EF1791">
        <w:rPr>
          <w:sz w:val="20"/>
          <w:szCs w:val="20"/>
        </w:rPr>
        <w:t>RP-213591, Moderator (</w:t>
      </w:r>
      <w:r>
        <w:rPr>
          <w:sz w:val="20"/>
          <w:szCs w:val="20"/>
        </w:rPr>
        <w:t>CMCC</w:t>
      </w:r>
      <w:r w:rsidRPr="00EF1791">
        <w:rPr>
          <w:sz w:val="20"/>
          <w:szCs w:val="20"/>
        </w:rPr>
        <w:t xml:space="preserve">), </w:t>
      </w:r>
      <w:r>
        <w:rPr>
          <w:sz w:val="20"/>
          <w:szCs w:val="20"/>
        </w:rPr>
        <w:t>“</w:t>
      </w:r>
      <w:r w:rsidRPr="00EF1791">
        <w:rPr>
          <w:sz w:val="20"/>
          <w:szCs w:val="20"/>
        </w:rPr>
        <w:t>SID Study on evolution of NR duplex operation</w:t>
      </w:r>
      <w:r>
        <w:rPr>
          <w:sz w:val="20"/>
          <w:szCs w:val="20"/>
        </w:rPr>
        <w:t>”</w:t>
      </w:r>
      <w:r w:rsidRPr="00EF1791">
        <w:rPr>
          <w:sz w:val="20"/>
          <w:szCs w:val="20"/>
          <w:lang w:val="en-GB"/>
        </w:rPr>
        <w:t>, Dec. 2021</w:t>
      </w:r>
    </w:p>
    <w:p w14:paraId="74F364BD" w14:textId="77777777" w:rsidR="00BA1D6C" w:rsidRPr="000B2E59" w:rsidRDefault="00BA1D6C" w:rsidP="00BA1D6C">
      <w:pPr>
        <w:jc w:val="center"/>
        <w:rPr>
          <w:rFonts w:eastAsia="SimSun"/>
          <w:kern w:val="24"/>
          <w:sz w:val="20"/>
          <w:szCs w:val="20"/>
          <w:lang w:val="en-GB" w:eastAsia="ja-JP"/>
        </w:rPr>
      </w:pPr>
    </w:p>
    <w:sectPr w:rsidR="00BA1D6C" w:rsidRPr="000B2E59"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2" w:usb2="00000016" w:usb3="00000000" w:csb0="0004001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1B4412"/>
    <w:multiLevelType w:val="hybridMultilevel"/>
    <w:tmpl w:val="4D840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5628A7"/>
    <w:multiLevelType w:val="hybridMultilevel"/>
    <w:tmpl w:val="07C6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3218CB"/>
    <w:multiLevelType w:val="hybridMultilevel"/>
    <w:tmpl w:val="9E4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D77028"/>
    <w:multiLevelType w:val="hybridMultilevel"/>
    <w:tmpl w:val="E160A08A"/>
    <w:lvl w:ilvl="0" w:tplc="D3FE48A0">
      <w:start w:val="1"/>
      <w:numFmt w:val="bullet"/>
      <w:lvlText w:val="-"/>
      <w:lvlJc w:val="left"/>
      <w:pPr>
        <w:tabs>
          <w:tab w:val="num" w:pos="720"/>
        </w:tabs>
        <w:ind w:left="720" w:hanging="360"/>
      </w:pPr>
      <w:rPr>
        <w:rFonts w:ascii="Times" w:hAnsi="Times" w:hint="default"/>
      </w:rPr>
    </w:lvl>
    <w:lvl w:ilvl="1" w:tplc="F2DA3274">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A54850"/>
    <w:multiLevelType w:val="hybridMultilevel"/>
    <w:tmpl w:val="E9108D3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CF3A78"/>
    <w:multiLevelType w:val="hybridMultilevel"/>
    <w:tmpl w:val="A2EE2DF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3A3364A6"/>
    <w:multiLevelType w:val="hybridMultilevel"/>
    <w:tmpl w:val="17405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4D02EC"/>
    <w:multiLevelType w:val="hybridMultilevel"/>
    <w:tmpl w:val="917A9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27336"/>
    <w:multiLevelType w:val="hybridMultilevel"/>
    <w:tmpl w:val="7352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CE0E7E"/>
    <w:multiLevelType w:val="hybridMultilevel"/>
    <w:tmpl w:val="34DA1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2C240B"/>
    <w:multiLevelType w:val="multilevel"/>
    <w:tmpl w:val="682C240B"/>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D34A15"/>
    <w:multiLevelType w:val="hybridMultilevel"/>
    <w:tmpl w:val="7DB2A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3693080">
    <w:abstractNumId w:val="4"/>
  </w:num>
  <w:num w:numId="2" w16cid:durableId="98794354">
    <w:abstractNumId w:val="26"/>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15"/>
  </w:num>
  <w:num w:numId="5" w16cid:durableId="559053736">
    <w:abstractNumId w:val="11"/>
  </w:num>
  <w:num w:numId="6" w16cid:durableId="1855418263">
    <w:abstractNumId w:val="4"/>
  </w:num>
  <w:num w:numId="7" w16cid:durableId="1158962368">
    <w:abstractNumId w:val="6"/>
  </w:num>
  <w:num w:numId="8" w16cid:durableId="124978665">
    <w:abstractNumId w:val="25"/>
  </w:num>
  <w:num w:numId="9" w16cid:durableId="1560631235">
    <w:abstractNumId w:val="4"/>
  </w:num>
  <w:num w:numId="10" w16cid:durableId="1957518174">
    <w:abstractNumId w:val="24"/>
  </w:num>
  <w:num w:numId="11" w16cid:durableId="148325099">
    <w:abstractNumId w:val="28"/>
  </w:num>
  <w:num w:numId="12" w16cid:durableId="1367829081">
    <w:abstractNumId w:val="4"/>
  </w:num>
  <w:num w:numId="13" w16cid:durableId="1458793434">
    <w:abstractNumId w:val="19"/>
  </w:num>
  <w:num w:numId="14" w16cid:durableId="1120991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3411889">
    <w:abstractNumId w:val="8"/>
  </w:num>
  <w:num w:numId="16" w16cid:durableId="753893123">
    <w:abstractNumId w:val="1"/>
  </w:num>
  <w:num w:numId="17" w16cid:durableId="298189470">
    <w:abstractNumId w:val="7"/>
  </w:num>
  <w:num w:numId="18" w16cid:durableId="967591525">
    <w:abstractNumId w:val="18"/>
  </w:num>
  <w:num w:numId="19" w16cid:durableId="1887063373">
    <w:abstractNumId w:val="3"/>
  </w:num>
  <w:num w:numId="20" w16cid:durableId="995575650">
    <w:abstractNumId w:val="16"/>
  </w:num>
  <w:num w:numId="21" w16cid:durableId="91947407">
    <w:abstractNumId w:val="27"/>
  </w:num>
  <w:num w:numId="22" w16cid:durableId="1929462533">
    <w:abstractNumId w:val="12"/>
  </w:num>
  <w:num w:numId="23" w16cid:durableId="1401320232">
    <w:abstractNumId w:val="14"/>
  </w:num>
  <w:num w:numId="24" w16cid:durableId="728695090">
    <w:abstractNumId w:val="10"/>
  </w:num>
  <w:num w:numId="25" w16cid:durableId="1297101469">
    <w:abstractNumId w:val="2"/>
  </w:num>
  <w:num w:numId="26" w16cid:durableId="776487168">
    <w:abstractNumId w:val="22"/>
  </w:num>
  <w:num w:numId="27" w16cid:durableId="601576533">
    <w:abstractNumId w:val="5"/>
  </w:num>
  <w:num w:numId="28" w16cid:durableId="191959298">
    <w:abstractNumId w:val="9"/>
  </w:num>
  <w:num w:numId="29" w16cid:durableId="52045612">
    <w:abstractNumId w:val="20"/>
  </w:num>
  <w:num w:numId="30" w16cid:durableId="1090002070">
    <w:abstractNumId w:val="21"/>
  </w:num>
  <w:num w:numId="31" w16cid:durableId="16123033">
    <w:abstractNumId w:val="23"/>
  </w:num>
  <w:num w:numId="32" w16cid:durableId="298923339">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CF"/>
    <w:rsid w:val="000065C0"/>
    <w:rsid w:val="000100B5"/>
    <w:rsid w:val="000115C8"/>
    <w:rsid w:val="00017B94"/>
    <w:rsid w:val="00017E93"/>
    <w:rsid w:val="00021186"/>
    <w:rsid w:val="000212EC"/>
    <w:rsid w:val="00021891"/>
    <w:rsid w:val="00024CF4"/>
    <w:rsid w:val="00031D27"/>
    <w:rsid w:val="00031E68"/>
    <w:rsid w:val="000354D1"/>
    <w:rsid w:val="00037E22"/>
    <w:rsid w:val="00041650"/>
    <w:rsid w:val="00041988"/>
    <w:rsid w:val="00044CC2"/>
    <w:rsid w:val="00046585"/>
    <w:rsid w:val="00050D4A"/>
    <w:rsid w:val="00051373"/>
    <w:rsid w:val="000531E2"/>
    <w:rsid w:val="00055D16"/>
    <w:rsid w:val="00055F76"/>
    <w:rsid w:val="0005612B"/>
    <w:rsid w:val="00057599"/>
    <w:rsid w:val="000605BB"/>
    <w:rsid w:val="00063843"/>
    <w:rsid w:val="000639F0"/>
    <w:rsid w:val="0006765A"/>
    <w:rsid w:val="00071AFF"/>
    <w:rsid w:val="000756C7"/>
    <w:rsid w:val="0007732F"/>
    <w:rsid w:val="00081B2B"/>
    <w:rsid w:val="00085223"/>
    <w:rsid w:val="0008670F"/>
    <w:rsid w:val="000923EC"/>
    <w:rsid w:val="000A1890"/>
    <w:rsid w:val="000A79C9"/>
    <w:rsid w:val="000B2E59"/>
    <w:rsid w:val="000C0C18"/>
    <w:rsid w:val="000C7006"/>
    <w:rsid w:val="000D068D"/>
    <w:rsid w:val="000D0F78"/>
    <w:rsid w:val="000D2660"/>
    <w:rsid w:val="000D4A1A"/>
    <w:rsid w:val="000D5446"/>
    <w:rsid w:val="000D54C9"/>
    <w:rsid w:val="000E2519"/>
    <w:rsid w:val="000F2C70"/>
    <w:rsid w:val="0010269A"/>
    <w:rsid w:val="001033DC"/>
    <w:rsid w:val="00103D56"/>
    <w:rsid w:val="00103EC9"/>
    <w:rsid w:val="00107247"/>
    <w:rsid w:val="001139F4"/>
    <w:rsid w:val="00115F3F"/>
    <w:rsid w:val="0012163E"/>
    <w:rsid w:val="00127219"/>
    <w:rsid w:val="00130A25"/>
    <w:rsid w:val="0013108B"/>
    <w:rsid w:val="00134A16"/>
    <w:rsid w:val="00134CE7"/>
    <w:rsid w:val="00140849"/>
    <w:rsid w:val="0014756C"/>
    <w:rsid w:val="001511AC"/>
    <w:rsid w:val="00153773"/>
    <w:rsid w:val="0015382F"/>
    <w:rsid w:val="00161E92"/>
    <w:rsid w:val="00162C20"/>
    <w:rsid w:val="001655D0"/>
    <w:rsid w:val="0016607C"/>
    <w:rsid w:val="001661E0"/>
    <w:rsid w:val="00180C32"/>
    <w:rsid w:val="0018214E"/>
    <w:rsid w:val="0018269A"/>
    <w:rsid w:val="00184D3F"/>
    <w:rsid w:val="00185A0B"/>
    <w:rsid w:val="0018607A"/>
    <w:rsid w:val="00193222"/>
    <w:rsid w:val="00194BBD"/>
    <w:rsid w:val="0019597B"/>
    <w:rsid w:val="001A1E71"/>
    <w:rsid w:val="001A3273"/>
    <w:rsid w:val="001A3D28"/>
    <w:rsid w:val="001A4FA2"/>
    <w:rsid w:val="001A5A42"/>
    <w:rsid w:val="001A5F2D"/>
    <w:rsid w:val="001A7C0A"/>
    <w:rsid w:val="001B0BC6"/>
    <w:rsid w:val="001B3F28"/>
    <w:rsid w:val="001B4E23"/>
    <w:rsid w:val="001B5175"/>
    <w:rsid w:val="001B7BEC"/>
    <w:rsid w:val="001C0CB6"/>
    <w:rsid w:val="001C3DE0"/>
    <w:rsid w:val="001C4241"/>
    <w:rsid w:val="001C53C6"/>
    <w:rsid w:val="001C71ED"/>
    <w:rsid w:val="001D4036"/>
    <w:rsid w:val="001D4551"/>
    <w:rsid w:val="001D5F61"/>
    <w:rsid w:val="001D6F74"/>
    <w:rsid w:val="001D73FF"/>
    <w:rsid w:val="001E041B"/>
    <w:rsid w:val="001E62A2"/>
    <w:rsid w:val="001E73AB"/>
    <w:rsid w:val="001E7C26"/>
    <w:rsid w:val="001F1442"/>
    <w:rsid w:val="001F2BAC"/>
    <w:rsid w:val="00203A0D"/>
    <w:rsid w:val="00205FF8"/>
    <w:rsid w:val="002134C9"/>
    <w:rsid w:val="00214DB5"/>
    <w:rsid w:val="00215CAC"/>
    <w:rsid w:val="0022064E"/>
    <w:rsid w:val="00222C64"/>
    <w:rsid w:val="0022367D"/>
    <w:rsid w:val="00227ADC"/>
    <w:rsid w:val="002302B1"/>
    <w:rsid w:val="00231473"/>
    <w:rsid w:val="00232779"/>
    <w:rsid w:val="00242650"/>
    <w:rsid w:val="00245D27"/>
    <w:rsid w:val="00252B41"/>
    <w:rsid w:val="002562BF"/>
    <w:rsid w:val="00256314"/>
    <w:rsid w:val="00256E42"/>
    <w:rsid w:val="00263926"/>
    <w:rsid w:val="00266E0F"/>
    <w:rsid w:val="002672E4"/>
    <w:rsid w:val="002679CB"/>
    <w:rsid w:val="00270C5A"/>
    <w:rsid w:val="0027181A"/>
    <w:rsid w:val="00274F27"/>
    <w:rsid w:val="00277B82"/>
    <w:rsid w:val="002814E7"/>
    <w:rsid w:val="00284AB0"/>
    <w:rsid w:val="00285B13"/>
    <w:rsid w:val="0029000E"/>
    <w:rsid w:val="002948FF"/>
    <w:rsid w:val="0029769A"/>
    <w:rsid w:val="002A1F80"/>
    <w:rsid w:val="002A274D"/>
    <w:rsid w:val="002A5795"/>
    <w:rsid w:val="002A5B21"/>
    <w:rsid w:val="002A7EFF"/>
    <w:rsid w:val="002B0171"/>
    <w:rsid w:val="002B21D4"/>
    <w:rsid w:val="002B72F3"/>
    <w:rsid w:val="002C1494"/>
    <w:rsid w:val="002C2CE9"/>
    <w:rsid w:val="002C4EFD"/>
    <w:rsid w:val="002C7880"/>
    <w:rsid w:val="002C796C"/>
    <w:rsid w:val="002D2BEB"/>
    <w:rsid w:val="002D2CAA"/>
    <w:rsid w:val="002D2FF0"/>
    <w:rsid w:val="002D4B22"/>
    <w:rsid w:val="002D6F69"/>
    <w:rsid w:val="002E2806"/>
    <w:rsid w:val="002E337E"/>
    <w:rsid w:val="002E5153"/>
    <w:rsid w:val="002E7D5F"/>
    <w:rsid w:val="002F0201"/>
    <w:rsid w:val="002F3060"/>
    <w:rsid w:val="002F33E1"/>
    <w:rsid w:val="002F45F1"/>
    <w:rsid w:val="00300829"/>
    <w:rsid w:val="00300A71"/>
    <w:rsid w:val="00301356"/>
    <w:rsid w:val="00303DD4"/>
    <w:rsid w:val="0030554A"/>
    <w:rsid w:val="00306493"/>
    <w:rsid w:val="003105DC"/>
    <w:rsid w:val="00311CE0"/>
    <w:rsid w:val="0031378A"/>
    <w:rsid w:val="00315F36"/>
    <w:rsid w:val="00322AFC"/>
    <w:rsid w:val="003262D0"/>
    <w:rsid w:val="00326AED"/>
    <w:rsid w:val="0034417B"/>
    <w:rsid w:val="00344AE3"/>
    <w:rsid w:val="00351207"/>
    <w:rsid w:val="0035243D"/>
    <w:rsid w:val="00352D9C"/>
    <w:rsid w:val="00354CD9"/>
    <w:rsid w:val="00360734"/>
    <w:rsid w:val="00360E10"/>
    <w:rsid w:val="00361704"/>
    <w:rsid w:val="00361D33"/>
    <w:rsid w:val="00362BFD"/>
    <w:rsid w:val="00364786"/>
    <w:rsid w:val="00365A86"/>
    <w:rsid w:val="00366F52"/>
    <w:rsid w:val="0036742E"/>
    <w:rsid w:val="00367DFA"/>
    <w:rsid w:val="00370876"/>
    <w:rsid w:val="003771E8"/>
    <w:rsid w:val="003802E1"/>
    <w:rsid w:val="003830C6"/>
    <w:rsid w:val="0038526E"/>
    <w:rsid w:val="003856D0"/>
    <w:rsid w:val="00387EB0"/>
    <w:rsid w:val="00391636"/>
    <w:rsid w:val="003944D1"/>
    <w:rsid w:val="00396B63"/>
    <w:rsid w:val="003A0C0A"/>
    <w:rsid w:val="003A7FBB"/>
    <w:rsid w:val="003B187F"/>
    <w:rsid w:val="003B620C"/>
    <w:rsid w:val="003B6A47"/>
    <w:rsid w:val="003B6AB3"/>
    <w:rsid w:val="003C41D2"/>
    <w:rsid w:val="003C49B0"/>
    <w:rsid w:val="003C7475"/>
    <w:rsid w:val="003C74B7"/>
    <w:rsid w:val="003D0609"/>
    <w:rsid w:val="003D1F65"/>
    <w:rsid w:val="003D51F2"/>
    <w:rsid w:val="003E0060"/>
    <w:rsid w:val="003E0B46"/>
    <w:rsid w:val="003E66DF"/>
    <w:rsid w:val="003E75B6"/>
    <w:rsid w:val="003F2E4A"/>
    <w:rsid w:val="003F33CB"/>
    <w:rsid w:val="0041336F"/>
    <w:rsid w:val="00413D41"/>
    <w:rsid w:val="00414973"/>
    <w:rsid w:val="0041645E"/>
    <w:rsid w:val="00417FC9"/>
    <w:rsid w:val="00427C39"/>
    <w:rsid w:val="004312F7"/>
    <w:rsid w:val="00434E5C"/>
    <w:rsid w:val="0044499D"/>
    <w:rsid w:val="00445788"/>
    <w:rsid w:val="004468F7"/>
    <w:rsid w:val="00446F00"/>
    <w:rsid w:val="004504F1"/>
    <w:rsid w:val="0045482E"/>
    <w:rsid w:val="00457F5D"/>
    <w:rsid w:val="00460CD0"/>
    <w:rsid w:val="00461B15"/>
    <w:rsid w:val="00462035"/>
    <w:rsid w:val="004636A7"/>
    <w:rsid w:val="00466F57"/>
    <w:rsid w:val="004704C9"/>
    <w:rsid w:val="00472D33"/>
    <w:rsid w:val="00473F4B"/>
    <w:rsid w:val="004752EB"/>
    <w:rsid w:val="004837C5"/>
    <w:rsid w:val="00485EDE"/>
    <w:rsid w:val="004A2991"/>
    <w:rsid w:val="004A41EF"/>
    <w:rsid w:val="004A5D6B"/>
    <w:rsid w:val="004A69A3"/>
    <w:rsid w:val="004A7A40"/>
    <w:rsid w:val="004B1642"/>
    <w:rsid w:val="004B3124"/>
    <w:rsid w:val="004B368D"/>
    <w:rsid w:val="004B3DF5"/>
    <w:rsid w:val="004B4D8D"/>
    <w:rsid w:val="004B74CC"/>
    <w:rsid w:val="004C4A14"/>
    <w:rsid w:val="004C6ABA"/>
    <w:rsid w:val="004C7036"/>
    <w:rsid w:val="004E01AD"/>
    <w:rsid w:val="004E6D4D"/>
    <w:rsid w:val="004F0CA8"/>
    <w:rsid w:val="00500DE7"/>
    <w:rsid w:val="0050600B"/>
    <w:rsid w:val="005062CA"/>
    <w:rsid w:val="00510C62"/>
    <w:rsid w:val="00513928"/>
    <w:rsid w:val="00514470"/>
    <w:rsid w:val="00517ADD"/>
    <w:rsid w:val="00520081"/>
    <w:rsid w:val="00521183"/>
    <w:rsid w:val="00523D91"/>
    <w:rsid w:val="0052593A"/>
    <w:rsid w:val="00526C5F"/>
    <w:rsid w:val="005327E9"/>
    <w:rsid w:val="00532BAF"/>
    <w:rsid w:val="0053782C"/>
    <w:rsid w:val="0054222B"/>
    <w:rsid w:val="00543C04"/>
    <w:rsid w:val="0055574E"/>
    <w:rsid w:val="00556671"/>
    <w:rsid w:val="00561D69"/>
    <w:rsid w:val="00561E94"/>
    <w:rsid w:val="00562D2B"/>
    <w:rsid w:val="00562EE5"/>
    <w:rsid w:val="00571C1E"/>
    <w:rsid w:val="00574720"/>
    <w:rsid w:val="00576934"/>
    <w:rsid w:val="0057794A"/>
    <w:rsid w:val="0058134C"/>
    <w:rsid w:val="00583230"/>
    <w:rsid w:val="00590E3A"/>
    <w:rsid w:val="00590E40"/>
    <w:rsid w:val="00593FCB"/>
    <w:rsid w:val="0059417B"/>
    <w:rsid w:val="00596063"/>
    <w:rsid w:val="0059787C"/>
    <w:rsid w:val="005B0F7A"/>
    <w:rsid w:val="005B1AD1"/>
    <w:rsid w:val="005B6997"/>
    <w:rsid w:val="005C7B97"/>
    <w:rsid w:val="005D45F7"/>
    <w:rsid w:val="005D5175"/>
    <w:rsid w:val="005D5233"/>
    <w:rsid w:val="005D5F39"/>
    <w:rsid w:val="005D5FF3"/>
    <w:rsid w:val="005E18E3"/>
    <w:rsid w:val="005E25D9"/>
    <w:rsid w:val="005E3EA9"/>
    <w:rsid w:val="005E44F4"/>
    <w:rsid w:val="005E5E14"/>
    <w:rsid w:val="005F15CC"/>
    <w:rsid w:val="005F7A0E"/>
    <w:rsid w:val="00600FC5"/>
    <w:rsid w:val="00604C3D"/>
    <w:rsid w:val="0060618C"/>
    <w:rsid w:val="0061765C"/>
    <w:rsid w:val="00620C29"/>
    <w:rsid w:val="00622552"/>
    <w:rsid w:val="00624E1C"/>
    <w:rsid w:val="00626534"/>
    <w:rsid w:val="00626819"/>
    <w:rsid w:val="00631A14"/>
    <w:rsid w:val="006337E5"/>
    <w:rsid w:val="00634AF5"/>
    <w:rsid w:val="00634B61"/>
    <w:rsid w:val="00636D7B"/>
    <w:rsid w:val="00641951"/>
    <w:rsid w:val="0064204C"/>
    <w:rsid w:val="00645994"/>
    <w:rsid w:val="006531B1"/>
    <w:rsid w:val="00654D1D"/>
    <w:rsid w:val="00656CB0"/>
    <w:rsid w:val="00660BC6"/>
    <w:rsid w:val="00660CC8"/>
    <w:rsid w:val="00663A24"/>
    <w:rsid w:val="00666868"/>
    <w:rsid w:val="006700A5"/>
    <w:rsid w:val="00672A3E"/>
    <w:rsid w:val="00674071"/>
    <w:rsid w:val="00675931"/>
    <w:rsid w:val="006823E7"/>
    <w:rsid w:val="006824B2"/>
    <w:rsid w:val="00682EED"/>
    <w:rsid w:val="0068752E"/>
    <w:rsid w:val="00695A7E"/>
    <w:rsid w:val="006A43D9"/>
    <w:rsid w:val="006A45D6"/>
    <w:rsid w:val="006A57C0"/>
    <w:rsid w:val="006B060B"/>
    <w:rsid w:val="006B13B0"/>
    <w:rsid w:val="006B3E00"/>
    <w:rsid w:val="006B5D4F"/>
    <w:rsid w:val="006C1202"/>
    <w:rsid w:val="006C3506"/>
    <w:rsid w:val="006C4E0D"/>
    <w:rsid w:val="006D41F2"/>
    <w:rsid w:val="006D4F66"/>
    <w:rsid w:val="006D54CF"/>
    <w:rsid w:val="006E6598"/>
    <w:rsid w:val="006F07E3"/>
    <w:rsid w:val="006F0EC9"/>
    <w:rsid w:val="006F1302"/>
    <w:rsid w:val="006F274D"/>
    <w:rsid w:val="006F66D2"/>
    <w:rsid w:val="00707829"/>
    <w:rsid w:val="0071089C"/>
    <w:rsid w:val="007126A2"/>
    <w:rsid w:val="00720BE8"/>
    <w:rsid w:val="00720EBF"/>
    <w:rsid w:val="00724642"/>
    <w:rsid w:val="007322C5"/>
    <w:rsid w:val="00732388"/>
    <w:rsid w:val="00732564"/>
    <w:rsid w:val="0073426D"/>
    <w:rsid w:val="00744E6D"/>
    <w:rsid w:val="0074708B"/>
    <w:rsid w:val="00751E2A"/>
    <w:rsid w:val="0075361D"/>
    <w:rsid w:val="007539D9"/>
    <w:rsid w:val="00753D11"/>
    <w:rsid w:val="00754F02"/>
    <w:rsid w:val="0075517A"/>
    <w:rsid w:val="007570AB"/>
    <w:rsid w:val="007660E5"/>
    <w:rsid w:val="00770366"/>
    <w:rsid w:val="00771C09"/>
    <w:rsid w:val="007720DD"/>
    <w:rsid w:val="007727CB"/>
    <w:rsid w:val="007740EF"/>
    <w:rsid w:val="00775CAC"/>
    <w:rsid w:val="0078114E"/>
    <w:rsid w:val="007A1F9E"/>
    <w:rsid w:val="007A41E3"/>
    <w:rsid w:val="007A6EBC"/>
    <w:rsid w:val="007B273D"/>
    <w:rsid w:val="007B5221"/>
    <w:rsid w:val="007C232B"/>
    <w:rsid w:val="007D27B2"/>
    <w:rsid w:val="007D7F00"/>
    <w:rsid w:val="007E03DA"/>
    <w:rsid w:val="007E2553"/>
    <w:rsid w:val="007E3054"/>
    <w:rsid w:val="007E4A87"/>
    <w:rsid w:val="007E54EF"/>
    <w:rsid w:val="007E554B"/>
    <w:rsid w:val="007E6FF6"/>
    <w:rsid w:val="007F128C"/>
    <w:rsid w:val="007F4737"/>
    <w:rsid w:val="00802205"/>
    <w:rsid w:val="0081070A"/>
    <w:rsid w:val="00813F25"/>
    <w:rsid w:val="00816874"/>
    <w:rsid w:val="00816C7F"/>
    <w:rsid w:val="00817536"/>
    <w:rsid w:val="00817D2C"/>
    <w:rsid w:val="00820D52"/>
    <w:rsid w:val="00821959"/>
    <w:rsid w:val="00821C78"/>
    <w:rsid w:val="00822058"/>
    <w:rsid w:val="008236A0"/>
    <w:rsid w:val="008251EA"/>
    <w:rsid w:val="00830BA2"/>
    <w:rsid w:val="008331B0"/>
    <w:rsid w:val="00834862"/>
    <w:rsid w:val="0083556D"/>
    <w:rsid w:val="00836817"/>
    <w:rsid w:val="008438C3"/>
    <w:rsid w:val="00860F75"/>
    <w:rsid w:val="0086391A"/>
    <w:rsid w:val="00866ED5"/>
    <w:rsid w:val="00871978"/>
    <w:rsid w:val="00880ECD"/>
    <w:rsid w:val="00882A4D"/>
    <w:rsid w:val="00882D87"/>
    <w:rsid w:val="00884A96"/>
    <w:rsid w:val="00884AF8"/>
    <w:rsid w:val="00887C4A"/>
    <w:rsid w:val="00887DE8"/>
    <w:rsid w:val="0089138A"/>
    <w:rsid w:val="00891C8B"/>
    <w:rsid w:val="00892141"/>
    <w:rsid w:val="008923A6"/>
    <w:rsid w:val="00894787"/>
    <w:rsid w:val="00897057"/>
    <w:rsid w:val="0089738A"/>
    <w:rsid w:val="008A0861"/>
    <w:rsid w:val="008A25E9"/>
    <w:rsid w:val="008A5F33"/>
    <w:rsid w:val="008A65A1"/>
    <w:rsid w:val="008A69C1"/>
    <w:rsid w:val="008A6FAA"/>
    <w:rsid w:val="008B24BF"/>
    <w:rsid w:val="008B333E"/>
    <w:rsid w:val="008C009A"/>
    <w:rsid w:val="008C2187"/>
    <w:rsid w:val="008C4747"/>
    <w:rsid w:val="008C6E16"/>
    <w:rsid w:val="008D0789"/>
    <w:rsid w:val="008D18C8"/>
    <w:rsid w:val="008D3DD1"/>
    <w:rsid w:val="008D6AE1"/>
    <w:rsid w:val="008E0B6D"/>
    <w:rsid w:val="008F0E83"/>
    <w:rsid w:val="008F11CC"/>
    <w:rsid w:val="008F24A4"/>
    <w:rsid w:val="008F533C"/>
    <w:rsid w:val="00901D2D"/>
    <w:rsid w:val="00906E5E"/>
    <w:rsid w:val="00907ABC"/>
    <w:rsid w:val="00911E05"/>
    <w:rsid w:val="00911EFA"/>
    <w:rsid w:val="009169C4"/>
    <w:rsid w:val="00916E49"/>
    <w:rsid w:val="00920227"/>
    <w:rsid w:val="00920D2A"/>
    <w:rsid w:val="00922589"/>
    <w:rsid w:val="00922BBD"/>
    <w:rsid w:val="00923A3D"/>
    <w:rsid w:val="009242FD"/>
    <w:rsid w:val="00927D99"/>
    <w:rsid w:val="00927D9E"/>
    <w:rsid w:val="009351FA"/>
    <w:rsid w:val="00935AC3"/>
    <w:rsid w:val="00940793"/>
    <w:rsid w:val="0094095E"/>
    <w:rsid w:val="009427D6"/>
    <w:rsid w:val="0094298C"/>
    <w:rsid w:val="00943571"/>
    <w:rsid w:val="00954483"/>
    <w:rsid w:val="009558DA"/>
    <w:rsid w:val="0095741E"/>
    <w:rsid w:val="00957987"/>
    <w:rsid w:val="00957B16"/>
    <w:rsid w:val="009622B6"/>
    <w:rsid w:val="00962EC6"/>
    <w:rsid w:val="00964F12"/>
    <w:rsid w:val="00964F64"/>
    <w:rsid w:val="00965BA8"/>
    <w:rsid w:val="00967677"/>
    <w:rsid w:val="00972643"/>
    <w:rsid w:val="00973A25"/>
    <w:rsid w:val="00976964"/>
    <w:rsid w:val="00977119"/>
    <w:rsid w:val="009772B9"/>
    <w:rsid w:val="009834CC"/>
    <w:rsid w:val="00983F09"/>
    <w:rsid w:val="00985108"/>
    <w:rsid w:val="00985F99"/>
    <w:rsid w:val="00987AB1"/>
    <w:rsid w:val="00990D66"/>
    <w:rsid w:val="00991DC3"/>
    <w:rsid w:val="00992D77"/>
    <w:rsid w:val="00993596"/>
    <w:rsid w:val="00997267"/>
    <w:rsid w:val="009B0E3C"/>
    <w:rsid w:val="009B7EB1"/>
    <w:rsid w:val="009C3BBA"/>
    <w:rsid w:val="009C4CA6"/>
    <w:rsid w:val="009C53B3"/>
    <w:rsid w:val="009C68CE"/>
    <w:rsid w:val="009D18CF"/>
    <w:rsid w:val="009D1C4F"/>
    <w:rsid w:val="009E0E57"/>
    <w:rsid w:val="009E16AA"/>
    <w:rsid w:val="009E2F96"/>
    <w:rsid w:val="009F495A"/>
    <w:rsid w:val="009F58CE"/>
    <w:rsid w:val="009F7D20"/>
    <w:rsid w:val="00A04BB9"/>
    <w:rsid w:val="00A11012"/>
    <w:rsid w:val="00A11EE9"/>
    <w:rsid w:val="00A13349"/>
    <w:rsid w:val="00A1371C"/>
    <w:rsid w:val="00A13AE3"/>
    <w:rsid w:val="00A14D2A"/>
    <w:rsid w:val="00A153FF"/>
    <w:rsid w:val="00A17A22"/>
    <w:rsid w:val="00A20F2F"/>
    <w:rsid w:val="00A2619E"/>
    <w:rsid w:val="00A31852"/>
    <w:rsid w:val="00A31FCD"/>
    <w:rsid w:val="00A327E8"/>
    <w:rsid w:val="00A352F0"/>
    <w:rsid w:val="00A41EE3"/>
    <w:rsid w:val="00A42B01"/>
    <w:rsid w:val="00A466DA"/>
    <w:rsid w:val="00A46C64"/>
    <w:rsid w:val="00A53D85"/>
    <w:rsid w:val="00A56B27"/>
    <w:rsid w:val="00A60EAB"/>
    <w:rsid w:val="00A805B9"/>
    <w:rsid w:val="00A80DF8"/>
    <w:rsid w:val="00A81738"/>
    <w:rsid w:val="00A86777"/>
    <w:rsid w:val="00A87388"/>
    <w:rsid w:val="00A9213A"/>
    <w:rsid w:val="00A93DEE"/>
    <w:rsid w:val="00A95A78"/>
    <w:rsid w:val="00AA286C"/>
    <w:rsid w:val="00AA4EE3"/>
    <w:rsid w:val="00AA72B3"/>
    <w:rsid w:val="00AB03E8"/>
    <w:rsid w:val="00AB0956"/>
    <w:rsid w:val="00AB26E1"/>
    <w:rsid w:val="00AB54AA"/>
    <w:rsid w:val="00AB55F7"/>
    <w:rsid w:val="00AB59B7"/>
    <w:rsid w:val="00AC23CB"/>
    <w:rsid w:val="00AC2430"/>
    <w:rsid w:val="00AD1997"/>
    <w:rsid w:val="00AE0234"/>
    <w:rsid w:val="00AE338C"/>
    <w:rsid w:val="00AF04C4"/>
    <w:rsid w:val="00AF0E18"/>
    <w:rsid w:val="00AF13FC"/>
    <w:rsid w:val="00AF23E3"/>
    <w:rsid w:val="00AF2539"/>
    <w:rsid w:val="00AF7DC9"/>
    <w:rsid w:val="00B0084D"/>
    <w:rsid w:val="00B03184"/>
    <w:rsid w:val="00B058BB"/>
    <w:rsid w:val="00B05BB5"/>
    <w:rsid w:val="00B0669A"/>
    <w:rsid w:val="00B06EFF"/>
    <w:rsid w:val="00B07537"/>
    <w:rsid w:val="00B075D1"/>
    <w:rsid w:val="00B12A9A"/>
    <w:rsid w:val="00B12FE5"/>
    <w:rsid w:val="00B1523B"/>
    <w:rsid w:val="00B1752F"/>
    <w:rsid w:val="00B21867"/>
    <w:rsid w:val="00B23EB7"/>
    <w:rsid w:val="00B30C35"/>
    <w:rsid w:val="00B315B3"/>
    <w:rsid w:val="00B33343"/>
    <w:rsid w:val="00B3398E"/>
    <w:rsid w:val="00B4058C"/>
    <w:rsid w:val="00B43C9D"/>
    <w:rsid w:val="00B46E95"/>
    <w:rsid w:val="00B5429D"/>
    <w:rsid w:val="00B6127B"/>
    <w:rsid w:val="00B6313F"/>
    <w:rsid w:val="00B63683"/>
    <w:rsid w:val="00B6406F"/>
    <w:rsid w:val="00B658E6"/>
    <w:rsid w:val="00B67045"/>
    <w:rsid w:val="00B67EFB"/>
    <w:rsid w:val="00B71E1B"/>
    <w:rsid w:val="00B72388"/>
    <w:rsid w:val="00B750B7"/>
    <w:rsid w:val="00B75DD5"/>
    <w:rsid w:val="00B76E3D"/>
    <w:rsid w:val="00B80C85"/>
    <w:rsid w:val="00B816BB"/>
    <w:rsid w:val="00B818F1"/>
    <w:rsid w:val="00B83E2D"/>
    <w:rsid w:val="00B86B50"/>
    <w:rsid w:val="00B875E8"/>
    <w:rsid w:val="00B90F77"/>
    <w:rsid w:val="00B931DB"/>
    <w:rsid w:val="00B96152"/>
    <w:rsid w:val="00BA1D6C"/>
    <w:rsid w:val="00BA2E33"/>
    <w:rsid w:val="00BA34FC"/>
    <w:rsid w:val="00BA7415"/>
    <w:rsid w:val="00BB5B03"/>
    <w:rsid w:val="00BB64B1"/>
    <w:rsid w:val="00BB7080"/>
    <w:rsid w:val="00BB7E23"/>
    <w:rsid w:val="00BC2D50"/>
    <w:rsid w:val="00BC38C5"/>
    <w:rsid w:val="00BC5228"/>
    <w:rsid w:val="00BC522F"/>
    <w:rsid w:val="00BC5A1B"/>
    <w:rsid w:val="00BD43B7"/>
    <w:rsid w:val="00BD5870"/>
    <w:rsid w:val="00BD740B"/>
    <w:rsid w:val="00BD74B0"/>
    <w:rsid w:val="00BE0401"/>
    <w:rsid w:val="00BE2B6D"/>
    <w:rsid w:val="00BE3F2D"/>
    <w:rsid w:val="00BE4C1E"/>
    <w:rsid w:val="00BE7BD0"/>
    <w:rsid w:val="00BF1DF3"/>
    <w:rsid w:val="00BF487F"/>
    <w:rsid w:val="00BF6DEF"/>
    <w:rsid w:val="00C0753A"/>
    <w:rsid w:val="00C20B5B"/>
    <w:rsid w:val="00C2111A"/>
    <w:rsid w:val="00C24DAA"/>
    <w:rsid w:val="00C36E32"/>
    <w:rsid w:val="00C405FD"/>
    <w:rsid w:val="00C434FF"/>
    <w:rsid w:val="00C45A30"/>
    <w:rsid w:val="00C46B5C"/>
    <w:rsid w:val="00C5338B"/>
    <w:rsid w:val="00C5663A"/>
    <w:rsid w:val="00C65264"/>
    <w:rsid w:val="00C6638D"/>
    <w:rsid w:val="00C66A4A"/>
    <w:rsid w:val="00C67202"/>
    <w:rsid w:val="00C70860"/>
    <w:rsid w:val="00C74ED4"/>
    <w:rsid w:val="00C74F48"/>
    <w:rsid w:val="00C762ED"/>
    <w:rsid w:val="00C8088E"/>
    <w:rsid w:val="00C84FE2"/>
    <w:rsid w:val="00C8761A"/>
    <w:rsid w:val="00C90BE2"/>
    <w:rsid w:val="00C92AEE"/>
    <w:rsid w:val="00C97556"/>
    <w:rsid w:val="00CA24D4"/>
    <w:rsid w:val="00CA3110"/>
    <w:rsid w:val="00CA48D8"/>
    <w:rsid w:val="00CB1134"/>
    <w:rsid w:val="00CB3368"/>
    <w:rsid w:val="00CB39B6"/>
    <w:rsid w:val="00CB5A91"/>
    <w:rsid w:val="00CB5D21"/>
    <w:rsid w:val="00CC0C38"/>
    <w:rsid w:val="00CC0E8B"/>
    <w:rsid w:val="00CC3519"/>
    <w:rsid w:val="00CC7F53"/>
    <w:rsid w:val="00CD27DB"/>
    <w:rsid w:val="00CE171E"/>
    <w:rsid w:val="00CE2EA5"/>
    <w:rsid w:val="00CE7503"/>
    <w:rsid w:val="00CF0B0B"/>
    <w:rsid w:val="00CF1E92"/>
    <w:rsid w:val="00CF2CAD"/>
    <w:rsid w:val="00D000EB"/>
    <w:rsid w:val="00D04A53"/>
    <w:rsid w:val="00D06101"/>
    <w:rsid w:val="00D07571"/>
    <w:rsid w:val="00D079BA"/>
    <w:rsid w:val="00D07EA0"/>
    <w:rsid w:val="00D1218B"/>
    <w:rsid w:val="00D16A46"/>
    <w:rsid w:val="00D17438"/>
    <w:rsid w:val="00D177E7"/>
    <w:rsid w:val="00D21BF0"/>
    <w:rsid w:val="00D22343"/>
    <w:rsid w:val="00D24E9A"/>
    <w:rsid w:val="00D263F1"/>
    <w:rsid w:val="00D313A3"/>
    <w:rsid w:val="00D31D9D"/>
    <w:rsid w:val="00D40277"/>
    <w:rsid w:val="00D402CA"/>
    <w:rsid w:val="00D406E1"/>
    <w:rsid w:val="00D4456A"/>
    <w:rsid w:val="00D44CB2"/>
    <w:rsid w:val="00D456F0"/>
    <w:rsid w:val="00D45853"/>
    <w:rsid w:val="00D45E02"/>
    <w:rsid w:val="00D46443"/>
    <w:rsid w:val="00D47F37"/>
    <w:rsid w:val="00D509DE"/>
    <w:rsid w:val="00D516C8"/>
    <w:rsid w:val="00D54E04"/>
    <w:rsid w:val="00D57E64"/>
    <w:rsid w:val="00D623A6"/>
    <w:rsid w:val="00D776B7"/>
    <w:rsid w:val="00D82BE1"/>
    <w:rsid w:val="00D83D3F"/>
    <w:rsid w:val="00D9083F"/>
    <w:rsid w:val="00D92B3F"/>
    <w:rsid w:val="00D97536"/>
    <w:rsid w:val="00D97548"/>
    <w:rsid w:val="00DA3C55"/>
    <w:rsid w:val="00DA570C"/>
    <w:rsid w:val="00DA5EB1"/>
    <w:rsid w:val="00DB0DF0"/>
    <w:rsid w:val="00DB1A36"/>
    <w:rsid w:val="00DB481F"/>
    <w:rsid w:val="00DB4A10"/>
    <w:rsid w:val="00DB652D"/>
    <w:rsid w:val="00DB7E54"/>
    <w:rsid w:val="00DC1188"/>
    <w:rsid w:val="00DE2340"/>
    <w:rsid w:val="00DE5C43"/>
    <w:rsid w:val="00DF0066"/>
    <w:rsid w:val="00DF1F05"/>
    <w:rsid w:val="00DF4C2B"/>
    <w:rsid w:val="00E00694"/>
    <w:rsid w:val="00E10633"/>
    <w:rsid w:val="00E11B95"/>
    <w:rsid w:val="00E11EDC"/>
    <w:rsid w:val="00E12DDA"/>
    <w:rsid w:val="00E27C0E"/>
    <w:rsid w:val="00E30225"/>
    <w:rsid w:val="00E327AE"/>
    <w:rsid w:val="00E344A2"/>
    <w:rsid w:val="00E35546"/>
    <w:rsid w:val="00E35592"/>
    <w:rsid w:val="00E4025A"/>
    <w:rsid w:val="00E41989"/>
    <w:rsid w:val="00E479E0"/>
    <w:rsid w:val="00E50BFF"/>
    <w:rsid w:val="00E55EB5"/>
    <w:rsid w:val="00E56A0E"/>
    <w:rsid w:val="00E60394"/>
    <w:rsid w:val="00E611A2"/>
    <w:rsid w:val="00E614BF"/>
    <w:rsid w:val="00E7599B"/>
    <w:rsid w:val="00E75B21"/>
    <w:rsid w:val="00E80518"/>
    <w:rsid w:val="00E83E9A"/>
    <w:rsid w:val="00E852C2"/>
    <w:rsid w:val="00E913CB"/>
    <w:rsid w:val="00E930EE"/>
    <w:rsid w:val="00E96857"/>
    <w:rsid w:val="00E96C6C"/>
    <w:rsid w:val="00EA02A2"/>
    <w:rsid w:val="00EA0E7B"/>
    <w:rsid w:val="00EA2090"/>
    <w:rsid w:val="00EA73C1"/>
    <w:rsid w:val="00EB225C"/>
    <w:rsid w:val="00EC0F55"/>
    <w:rsid w:val="00EC1E25"/>
    <w:rsid w:val="00EC2A35"/>
    <w:rsid w:val="00EC42C0"/>
    <w:rsid w:val="00ED07C3"/>
    <w:rsid w:val="00ED0C58"/>
    <w:rsid w:val="00ED2DD0"/>
    <w:rsid w:val="00EE043A"/>
    <w:rsid w:val="00EE18CC"/>
    <w:rsid w:val="00EE35BB"/>
    <w:rsid w:val="00EE70D2"/>
    <w:rsid w:val="00EF0063"/>
    <w:rsid w:val="00EF1791"/>
    <w:rsid w:val="00EF2DEE"/>
    <w:rsid w:val="00EF3CD4"/>
    <w:rsid w:val="00EF501D"/>
    <w:rsid w:val="00EF7114"/>
    <w:rsid w:val="00F01BD8"/>
    <w:rsid w:val="00F05BCC"/>
    <w:rsid w:val="00F15AE1"/>
    <w:rsid w:val="00F171C0"/>
    <w:rsid w:val="00F17D02"/>
    <w:rsid w:val="00F24869"/>
    <w:rsid w:val="00F25A12"/>
    <w:rsid w:val="00F302FE"/>
    <w:rsid w:val="00F31EEB"/>
    <w:rsid w:val="00F37734"/>
    <w:rsid w:val="00F37A14"/>
    <w:rsid w:val="00F41729"/>
    <w:rsid w:val="00F419A6"/>
    <w:rsid w:val="00F4281B"/>
    <w:rsid w:val="00F432F6"/>
    <w:rsid w:val="00F43CD1"/>
    <w:rsid w:val="00F4652D"/>
    <w:rsid w:val="00F47BC0"/>
    <w:rsid w:val="00F52ED3"/>
    <w:rsid w:val="00F60A71"/>
    <w:rsid w:val="00F61A78"/>
    <w:rsid w:val="00F66AC9"/>
    <w:rsid w:val="00F72493"/>
    <w:rsid w:val="00F761C6"/>
    <w:rsid w:val="00F763E7"/>
    <w:rsid w:val="00F83B35"/>
    <w:rsid w:val="00F84AB4"/>
    <w:rsid w:val="00F856B8"/>
    <w:rsid w:val="00F86C35"/>
    <w:rsid w:val="00F874FE"/>
    <w:rsid w:val="00F87CB0"/>
    <w:rsid w:val="00F924FB"/>
    <w:rsid w:val="00F9291A"/>
    <w:rsid w:val="00F943AF"/>
    <w:rsid w:val="00F9469A"/>
    <w:rsid w:val="00FA0560"/>
    <w:rsid w:val="00FA08D6"/>
    <w:rsid w:val="00FA0DD1"/>
    <w:rsid w:val="00FA2F4C"/>
    <w:rsid w:val="00FA3A61"/>
    <w:rsid w:val="00FA48C3"/>
    <w:rsid w:val="00FA5BF8"/>
    <w:rsid w:val="00FB414C"/>
    <w:rsid w:val="00FD41C4"/>
    <w:rsid w:val="00FE0A18"/>
    <w:rsid w:val="00FE1F8E"/>
    <w:rsid w:val="00FE2969"/>
    <w:rsid w:val="00FE3326"/>
    <w:rsid w:val="00FE455C"/>
    <w:rsid w:val="00FE5522"/>
    <w:rsid w:val="00FE72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0E40"/>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paragraph" w:customStyle="1" w:styleId="TAN">
    <w:name w:val="TAN"/>
    <w:basedOn w:val="TAL"/>
    <w:link w:val="TANChar"/>
    <w:rsid w:val="004A7A40"/>
    <w:pPr>
      <w:overflowPunct/>
      <w:autoSpaceDE/>
      <w:autoSpaceDN/>
      <w:adjustRightInd/>
      <w:ind w:left="851" w:hanging="851"/>
      <w:textAlignment w:val="auto"/>
    </w:pPr>
    <w:rPr>
      <w:rFonts w:eastAsia="MS Mincho"/>
    </w:rPr>
  </w:style>
  <w:style w:type="paragraph" w:customStyle="1" w:styleId="Tabletext">
    <w:name w:val="Table_text"/>
    <w:basedOn w:val="Normal"/>
    <w:link w:val="TabletextChar"/>
    <w:rsid w:val="004A7A4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0"/>
      <w:szCs w:val="20"/>
      <w:lang w:val="en-GB" w:eastAsia="en-US"/>
    </w:rPr>
  </w:style>
  <w:style w:type="character" w:customStyle="1" w:styleId="TabletextChar">
    <w:name w:val="Table_text Char"/>
    <w:link w:val="Tabletext"/>
    <w:locked/>
    <w:rsid w:val="004A7A40"/>
    <w:rPr>
      <w:rFonts w:ascii="Times New Roman" w:eastAsia="MS Mincho" w:hAnsi="Times New Roman" w:cs="Times New Roman"/>
      <w:sz w:val="20"/>
      <w:szCs w:val="20"/>
      <w:lang w:val="en-GB" w:eastAsia="en-US"/>
    </w:rPr>
  </w:style>
  <w:style w:type="character" w:customStyle="1" w:styleId="TALCar">
    <w:name w:val="TAL Car"/>
    <w:locked/>
    <w:rsid w:val="004A7A40"/>
    <w:rPr>
      <w:rFonts w:ascii="Arial" w:hAnsi="Arial"/>
      <w:sz w:val="18"/>
      <w:lang w:val="en-GB" w:eastAsia="en-US"/>
    </w:rPr>
  </w:style>
  <w:style w:type="character" w:customStyle="1" w:styleId="TANChar">
    <w:name w:val="TAN Char"/>
    <w:link w:val="TAN"/>
    <w:rsid w:val="004A7A40"/>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483935033">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801309385">
      <w:bodyDiv w:val="1"/>
      <w:marLeft w:val="0"/>
      <w:marRight w:val="0"/>
      <w:marTop w:val="0"/>
      <w:marBottom w:val="0"/>
      <w:divBdr>
        <w:top w:val="none" w:sz="0" w:space="0" w:color="auto"/>
        <w:left w:val="none" w:sz="0" w:space="0" w:color="auto"/>
        <w:bottom w:val="none" w:sz="0" w:space="0" w:color="auto"/>
        <w:right w:val="none" w:sz="0" w:space="0" w:color="auto"/>
      </w:divBdr>
    </w:div>
    <w:div w:id="803696713">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3955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1109</TotalTime>
  <Pages>5</Pages>
  <Words>2296</Words>
  <Characters>13088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 Fakoorian</cp:lastModifiedBy>
  <cp:revision>117</cp:revision>
  <dcterms:created xsi:type="dcterms:W3CDTF">2022-04-11T01:34:00Z</dcterms:created>
  <dcterms:modified xsi:type="dcterms:W3CDTF">2023-02-17T16:41:00Z</dcterms:modified>
</cp:coreProperties>
</file>